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48"/>
          <w:szCs w:val="48"/>
        </w:rPr>
      </w:pPr>
    </w:p>
    <w:p>
      <w:pPr>
        <w:widowControl/>
        <w:tabs>
          <w:tab w:val="left" w:pos="284"/>
          <w:tab w:val="left" w:pos="993"/>
        </w:tabs>
        <w:snapToGrid w:val="0"/>
        <w:spacing w:before="120"/>
        <w:jc w:val="center"/>
        <w:rPr>
          <w:rFonts w:hint="eastAsia" w:eastAsia="宋体"/>
          <w:lang w:val="en-US" w:eastAsia="zh-CN"/>
        </w:rPr>
      </w:pPr>
      <w:r>
        <w:rPr>
          <w:rFonts w:hint="eastAsia" w:ascii="宋体" w:hAnsi="宋体"/>
          <w:b/>
          <w:sz w:val="52"/>
          <w:szCs w:val="52"/>
          <w:lang w:eastAsia="zh-CN"/>
        </w:rPr>
        <w:t>嘉兴市第一医院2023-2024年度零星工程招标代理及造价咨询服务采购项目</w:t>
      </w:r>
    </w:p>
    <w:p>
      <w:pPr>
        <w:pStyle w:val="19"/>
        <w:ind w:left="0" w:leftChars="0" w:firstLine="0" w:firstLineChars="0"/>
      </w:pPr>
    </w:p>
    <w:p>
      <w:pPr>
        <w:pStyle w:val="19"/>
      </w:pPr>
    </w:p>
    <w:p>
      <w:pPr>
        <w:widowControl/>
        <w:tabs>
          <w:tab w:val="left" w:pos="284"/>
          <w:tab w:val="left" w:pos="993"/>
        </w:tabs>
        <w:snapToGrid w:val="0"/>
        <w:spacing w:before="120"/>
        <w:jc w:val="center"/>
        <w:rPr>
          <w:rFonts w:ascii="宋体" w:hAnsi="宋体" w:eastAsia="宋体"/>
          <w:b/>
          <w:spacing w:val="-20"/>
          <w:sz w:val="84"/>
          <w:szCs w:val="84"/>
        </w:rPr>
      </w:pPr>
      <w:r>
        <w:rPr>
          <w:rFonts w:ascii="宋体" w:hAnsi="宋体" w:eastAsia="宋体"/>
          <w:b/>
          <w:spacing w:val="-20"/>
          <w:sz w:val="84"/>
          <w:szCs w:val="84"/>
        </w:rPr>
        <w:t>招</w:t>
      </w:r>
    </w:p>
    <w:p>
      <w:pPr>
        <w:widowControl/>
        <w:tabs>
          <w:tab w:val="left" w:pos="284"/>
          <w:tab w:val="left" w:pos="993"/>
        </w:tabs>
        <w:snapToGrid w:val="0"/>
        <w:spacing w:before="120"/>
        <w:jc w:val="center"/>
        <w:rPr>
          <w:rFonts w:ascii="宋体" w:hAnsi="宋体" w:eastAsia="宋体"/>
          <w:b/>
          <w:spacing w:val="-20"/>
          <w:sz w:val="84"/>
          <w:szCs w:val="84"/>
        </w:rPr>
      </w:pPr>
      <w:r>
        <w:rPr>
          <w:rFonts w:ascii="宋体" w:hAnsi="宋体" w:eastAsia="宋体"/>
          <w:b/>
          <w:spacing w:val="-20"/>
          <w:sz w:val="84"/>
          <w:szCs w:val="84"/>
        </w:rPr>
        <w:t>标</w:t>
      </w:r>
    </w:p>
    <w:p>
      <w:pPr>
        <w:widowControl/>
        <w:tabs>
          <w:tab w:val="left" w:pos="284"/>
          <w:tab w:val="left" w:pos="993"/>
        </w:tabs>
        <w:snapToGrid w:val="0"/>
        <w:spacing w:before="120"/>
        <w:jc w:val="center"/>
        <w:rPr>
          <w:rFonts w:ascii="宋体" w:hAnsi="宋体" w:eastAsia="宋体"/>
          <w:b/>
          <w:spacing w:val="-20"/>
          <w:sz w:val="84"/>
          <w:szCs w:val="84"/>
        </w:rPr>
      </w:pPr>
      <w:r>
        <w:rPr>
          <w:rFonts w:ascii="宋体" w:hAnsi="宋体" w:eastAsia="宋体"/>
          <w:b/>
          <w:spacing w:val="-20"/>
          <w:sz w:val="84"/>
          <w:szCs w:val="84"/>
        </w:rPr>
        <w:t>文</w:t>
      </w:r>
    </w:p>
    <w:p>
      <w:pPr>
        <w:widowControl/>
        <w:tabs>
          <w:tab w:val="left" w:pos="284"/>
          <w:tab w:val="left" w:pos="993"/>
        </w:tabs>
        <w:snapToGrid w:val="0"/>
        <w:spacing w:before="120"/>
        <w:jc w:val="center"/>
        <w:rPr>
          <w:rFonts w:ascii="宋体" w:hAnsi="宋体" w:eastAsia="宋体"/>
          <w:b/>
          <w:spacing w:val="-20"/>
          <w:sz w:val="84"/>
          <w:szCs w:val="84"/>
        </w:rPr>
      </w:pPr>
      <w:r>
        <w:rPr>
          <w:rFonts w:ascii="宋体" w:hAnsi="宋体" w:eastAsia="宋体"/>
          <w:b/>
          <w:spacing w:val="-20"/>
          <w:sz w:val="84"/>
          <w:szCs w:val="84"/>
        </w:rPr>
        <w:t>件</w:t>
      </w:r>
    </w:p>
    <w:p>
      <w:pPr>
        <w:tabs>
          <w:tab w:val="left" w:pos="284"/>
          <w:tab w:val="left" w:pos="993"/>
        </w:tabs>
        <w:rPr>
          <w:rFonts w:ascii="宋体" w:hAnsi="宋体" w:eastAsia="宋体"/>
          <w:b/>
          <w:sz w:val="28"/>
          <w:szCs w:val="28"/>
        </w:rPr>
      </w:pPr>
    </w:p>
    <w:p>
      <w:pPr>
        <w:tabs>
          <w:tab w:val="left" w:pos="284"/>
          <w:tab w:val="left" w:pos="993"/>
        </w:tabs>
        <w:spacing w:line="240" w:lineRule="auto"/>
        <w:rPr>
          <w:rFonts w:ascii="宋体" w:hAnsi="宋体" w:eastAsia="宋体"/>
          <w:b/>
          <w:sz w:val="28"/>
          <w:szCs w:val="28"/>
        </w:rPr>
      </w:pPr>
    </w:p>
    <w:p>
      <w:pPr>
        <w:tabs>
          <w:tab w:val="left" w:pos="284"/>
          <w:tab w:val="left" w:pos="993"/>
        </w:tabs>
        <w:spacing w:line="240" w:lineRule="auto"/>
        <w:ind w:firstLine="275" w:firstLineChars="98"/>
        <w:rPr>
          <w:rFonts w:ascii="宋体" w:hAnsi="宋体" w:eastAsia="宋体"/>
          <w:b/>
          <w:sz w:val="28"/>
          <w:szCs w:val="28"/>
        </w:rPr>
      </w:pPr>
      <w:r>
        <w:rPr>
          <w:rFonts w:ascii="宋体" w:hAnsi="宋体" w:eastAsia="宋体"/>
          <w:b/>
          <w:sz w:val="28"/>
          <w:szCs w:val="28"/>
          <w:lang w:eastAsia="zh-TW"/>
        </w:rPr>
        <w:t>项目编号：</w:t>
      </w:r>
      <w:r>
        <w:rPr>
          <w:rFonts w:hint="eastAsia" w:ascii="宋体" w:hAnsi="宋体" w:eastAsia="宋体"/>
          <w:b/>
          <w:sz w:val="28"/>
          <w:szCs w:val="28"/>
          <w:lang w:eastAsia="zh-TW"/>
        </w:rPr>
        <w:t>嘉一采招（非）（</w:t>
      </w:r>
      <w:r>
        <w:rPr>
          <w:rFonts w:hint="eastAsia" w:ascii="宋体" w:hAnsi="宋体" w:eastAsia="宋体"/>
          <w:b/>
          <w:sz w:val="28"/>
          <w:szCs w:val="28"/>
          <w:lang w:val="en-US" w:eastAsia="zh-CN"/>
        </w:rPr>
        <w:t>服</w:t>
      </w:r>
      <w:r>
        <w:rPr>
          <w:rFonts w:hint="eastAsia" w:ascii="宋体" w:hAnsi="宋体" w:eastAsia="宋体"/>
          <w:b/>
          <w:sz w:val="28"/>
          <w:szCs w:val="28"/>
          <w:lang w:eastAsia="zh-TW"/>
        </w:rPr>
        <w:t>）〔2022〕1</w:t>
      </w:r>
      <w:r>
        <w:rPr>
          <w:rFonts w:hint="eastAsia" w:ascii="宋体" w:hAnsi="宋体" w:eastAsia="宋体"/>
          <w:b/>
          <w:sz w:val="28"/>
          <w:szCs w:val="28"/>
          <w:lang w:val="en-US" w:eastAsia="zh-CN"/>
        </w:rPr>
        <w:t>7</w:t>
      </w:r>
      <w:r>
        <w:rPr>
          <w:rFonts w:hint="eastAsia" w:ascii="宋体" w:hAnsi="宋体"/>
          <w:b/>
          <w:sz w:val="28"/>
          <w:szCs w:val="28"/>
          <w:lang w:val="en-US" w:eastAsia="zh-CN"/>
        </w:rPr>
        <w:t>6</w:t>
      </w:r>
      <w:r>
        <w:rPr>
          <w:rFonts w:hint="eastAsia" w:ascii="宋体" w:hAnsi="宋体" w:eastAsia="宋体"/>
          <w:b/>
          <w:sz w:val="28"/>
          <w:szCs w:val="28"/>
          <w:lang w:eastAsia="zh-TW"/>
        </w:rPr>
        <w:t>号</w:t>
      </w:r>
    </w:p>
    <w:p>
      <w:pPr>
        <w:pStyle w:val="19"/>
        <w:spacing w:line="240" w:lineRule="auto"/>
      </w:pPr>
    </w:p>
    <w:p>
      <w:pPr>
        <w:widowControl/>
        <w:tabs>
          <w:tab w:val="left" w:pos="284"/>
          <w:tab w:val="left" w:pos="993"/>
        </w:tabs>
        <w:snapToGrid w:val="0"/>
        <w:spacing w:before="120" w:line="240" w:lineRule="auto"/>
        <w:ind w:left="1671" w:leftChars="133" w:hanging="1405" w:hangingChars="500"/>
        <w:rPr>
          <w:rFonts w:hint="eastAsia" w:ascii="宋体" w:hAnsi="宋体" w:eastAsia="宋体"/>
          <w:b/>
          <w:sz w:val="52"/>
          <w:szCs w:val="52"/>
          <w:lang w:val="en-US" w:eastAsia="zh-CN"/>
        </w:rPr>
      </w:pPr>
      <w:r>
        <w:rPr>
          <w:rFonts w:ascii="宋体" w:hAnsi="宋体" w:eastAsia="宋体"/>
          <w:b/>
          <w:sz w:val="28"/>
          <w:szCs w:val="28"/>
          <w:lang w:eastAsia="zh-TW"/>
        </w:rPr>
        <w:t>项目名称：</w:t>
      </w:r>
      <w:r>
        <w:rPr>
          <w:rFonts w:hint="eastAsia" w:ascii="宋体" w:hAnsi="宋体"/>
          <w:b/>
          <w:sz w:val="28"/>
          <w:szCs w:val="28"/>
          <w:lang w:eastAsia="zh-CN"/>
        </w:rPr>
        <w:t>嘉兴市第一医院2023-2024年度零星工程招标代理及造价咨询服务采购项目</w:t>
      </w:r>
    </w:p>
    <w:p>
      <w:pPr>
        <w:widowControl/>
        <w:tabs>
          <w:tab w:val="left" w:pos="284"/>
          <w:tab w:val="left" w:pos="993"/>
        </w:tabs>
        <w:snapToGrid w:val="0"/>
        <w:spacing w:before="120" w:line="240" w:lineRule="auto"/>
        <w:rPr>
          <w:rFonts w:ascii="宋体" w:hAnsi="宋体" w:eastAsia="宋体"/>
          <w:b/>
          <w:sz w:val="28"/>
          <w:szCs w:val="28"/>
        </w:rPr>
      </w:pPr>
    </w:p>
    <w:p>
      <w:pPr>
        <w:widowControl/>
        <w:tabs>
          <w:tab w:val="left" w:pos="284"/>
          <w:tab w:val="left" w:pos="993"/>
        </w:tabs>
        <w:snapToGrid w:val="0"/>
        <w:spacing w:before="120" w:after="120" w:line="240" w:lineRule="auto"/>
        <w:ind w:firstLine="295"/>
        <w:rPr>
          <w:rFonts w:ascii="宋体" w:hAnsi="宋体" w:eastAsia="宋体"/>
          <w:b/>
          <w:sz w:val="28"/>
          <w:szCs w:val="28"/>
        </w:rPr>
      </w:pPr>
      <w:r>
        <w:rPr>
          <w:rFonts w:hint="eastAsia" w:ascii="宋体" w:hAnsi="宋体" w:eastAsia="宋体"/>
          <w:b/>
          <w:sz w:val="28"/>
          <w:szCs w:val="28"/>
        </w:rPr>
        <w:t>招标方</w:t>
      </w:r>
      <w:r>
        <w:rPr>
          <w:rFonts w:ascii="宋体" w:hAnsi="宋体" w:eastAsia="宋体"/>
          <w:b/>
          <w:sz w:val="28"/>
          <w:szCs w:val="28"/>
          <w:lang w:eastAsia="zh-TW"/>
        </w:rPr>
        <w:t>：嘉兴市第一医院</w:t>
      </w:r>
    </w:p>
    <w:p>
      <w:pPr>
        <w:widowControl/>
        <w:tabs>
          <w:tab w:val="left" w:pos="284"/>
          <w:tab w:val="left" w:pos="993"/>
        </w:tabs>
        <w:snapToGrid w:val="0"/>
        <w:spacing w:before="120" w:after="120" w:line="360" w:lineRule="auto"/>
        <w:rPr>
          <w:rFonts w:ascii="宋体" w:hAnsi="宋体" w:eastAsia="宋体"/>
          <w:sz w:val="28"/>
          <w:szCs w:val="28"/>
        </w:rPr>
      </w:pPr>
    </w:p>
    <w:p>
      <w:pPr>
        <w:pStyle w:val="19"/>
        <w:tabs>
          <w:tab w:val="left" w:pos="284"/>
          <w:tab w:val="left" w:pos="993"/>
        </w:tabs>
        <w:ind w:firstLine="0"/>
        <w:jc w:val="center"/>
        <w:rPr>
          <w:rFonts w:asciiTheme="minorEastAsia" w:hAnsiTheme="minorEastAsia" w:eastAsiaTheme="minorEastAsia"/>
        </w:rPr>
      </w:pPr>
      <w:r>
        <w:rPr>
          <w:rFonts w:hint="eastAsia" w:ascii="宋体" w:hAnsi="宋体" w:eastAsia="宋体"/>
          <w:b/>
          <w:sz w:val="28"/>
          <w:szCs w:val="28"/>
          <w:lang w:val="en-US" w:eastAsia="zh-CN"/>
        </w:rPr>
        <w:t>2022</w:t>
      </w:r>
      <w:r>
        <w:rPr>
          <w:rFonts w:ascii="宋体" w:hAnsi="宋体" w:eastAsia="宋体"/>
          <w:b/>
          <w:sz w:val="28"/>
          <w:szCs w:val="28"/>
        </w:rPr>
        <w:t>年</w:t>
      </w:r>
      <w:r>
        <w:rPr>
          <w:rFonts w:hint="eastAsia" w:ascii="宋体" w:hAnsi="宋体" w:eastAsia="宋体"/>
          <w:b/>
          <w:sz w:val="28"/>
          <w:szCs w:val="28"/>
          <w:lang w:val="en-US" w:eastAsia="zh-CN"/>
        </w:rPr>
        <w:t>12</w:t>
      </w:r>
      <w:r>
        <w:rPr>
          <w:rFonts w:ascii="宋体" w:hAnsi="宋体" w:eastAsia="宋体"/>
          <w:b/>
          <w:sz w:val="28"/>
          <w:szCs w:val="28"/>
        </w:rPr>
        <w:t>月</w:t>
      </w:r>
      <w:r>
        <w:rPr>
          <w:rFonts w:hint="eastAsia" w:ascii="宋体" w:hAnsi="宋体"/>
          <w:b/>
          <w:sz w:val="28"/>
          <w:szCs w:val="28"/>
          <w:lang w:val="en-US" w:eastAsia="zh-CN"/>
        </w:rPr>
        <w:t>15</w:t>
      </w:r>
      <w:r>
        <w:rPr>
          <w:rFonts w:ascii="宋体" w:hAnsi="宋体" w:eastAsia="宋体"/>
          <w:b/>
          <w:sz w:val="28"/>
          <w:szCs w:val="28"/>
        </w:rPr>
        <w:t>日</w:t>
      </w:r>
      <w:r>
        <w:rPr>
          <w:rFonts w:ascii="Times New Roman" w:eastAsia="宋体"/>
        </w:rPr>
        <w:br w:type="page"/>
      </w:r>
    </w:p>
    <w:p>
      <w:pPr>
        <w:pStyle w:val="24"/>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19"/>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宋体" w:hAnsi="宋体" w:eastAsiaTheme="minorEastAsia"/>
          <w:sz w:val="24"/>
          <w:lang w:eastAsia="zh-CN"/>
        </w:rPr>
        <w:t>嘉兴市第一医院</w:t>
      </w:r>
      <w:r>
        <w:rPr>
          <w:rFonts w:hint="eastAsia" w:ascii="宋体" w:hAnsi="宋体" w:eastAsiaTheme="minorEastAsia"/>
          <w:sz w:val="24"/>
          <w:lang w:val="en-US" w:eastAsia="zh-CN"/>
        </w:rPr>
        <w:t>2023-2024年度</w:t>
      </w:r>
      <w:r>
        <w:rPr>
          <w:rFonts w:hint="eastAsia" w:ascii="宋体" w:hAnsi="宋体" w:eastAsiaTheme="minorEastAsia"/>
          <w:sz w:val="24"/>
          <w:lang w:eastAsia="zh-CN"/>
        </w:rPr>
        <w:t>零星工程招标代理及造价咨询服务采购项目</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在线获取（下载）采购文件，并于2022年 1</w:t>
      </w:r>
      <w:r>
        <w:rPr>
          <w:rFonts w:hint="eastAsia" w:asciiTheme="minorEastAsia" w:hAnsiTheme="minorEastAsia" w:eastAsiaTheme="minorEastAsia"/>
          <w:kern w:val="2"/>
          <w:sz w:val="24"/>
          <w:szCs w:val="24"/>
          <w:lang w:val="en-US" w:eastAsia="zh-CN"/>
        </w:rPr>
        <w:t>2</w:t>
      </w:r>
      <w:r>
        <w:rPr>
          <w:rFonts w:hint="eastAsia" w:asciiTheme="minorEastAsia" w:hAnsiTheme="minorEastAsia" w:eastAsiaTheme="minorEastAsia"/>
          <w:kern w:val="2"/>
          <w:sz w:val="24"/>
          <w:szCs w:val="24"/>
        </w:rPr>
        <w:t>月</w:t>
      </w:r>
      <w:r>
        <w:rPr>
          <w:rFonts w:hint="eastAsia" w:asciiTheme="minorEastAsia" w:hAnsiTheme="minorEastAsia" w:eastAsiaTheme="minorEastAsia"/>
          <w:kern w:val="2"/>
          <w:sz w:val="24"/>
          <w:szCs w:val="24"/>
          <w:lang w:val="en-US" w:eastAsia="zh-CN"/>
        </w:rPr>
        <w:t>22</w:t>
      </w:r>
      <w:r>
        <w:rPr>
          <w:rFonts w:hint="eastAsia" w:asciiTheme="minorEastAsia" w:hAnsiTheme="minorEastAsia" w:eastAsiaTheme="minorEastAsia"/>
          <w:kern w:val="2"/>
          <w:sz w:val="24"/>
          <w:szCs w:val="24"/>
        </w:rPr>
        <w:t>日 14:00（北京时间）前提交响应文件。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24"/>
        <w:numPr>
          <w:ilvl w:val="0"/>
          <w:numId w:val="2"/>
        </w:numPr>
        <w:tabs>
          <w:tab w:val="left" w:pos="284"/>
          <w:tab w:val="left" w:pos="600"/>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项目编号：嘉一采招（非）（</w:t>
      </w:r>
      <w:r>
        <w:rPr>
          <w:rFonts w:hint="eastAsia" w:cs="宋体" w:asciiTheme="minorEastAsia" w:hAnsiTheme="minorEastAsia"/>
          <w:kern w:val="1"/>
          <w:sz w:val="24"/>
          <w:lang w:val="en-US" w:eastAsia="zh-CN"/>
        </w:rPr>
        <w:t>服</w:t>
      </w:r>
      <w:r>
        <w:rPr>
          <w:rFonts w:hint="eastAsia" w:cs="宋体" w:asciiTheme="minorEastAsia" w:hAnsiTheme="minorEastAsia"/>
          <w:kern w:val="1"/>
          <w:sz w:val="24"/>
        </w:rPr>
        <w:t>）〔2022〕1</w:t>
      </w:r>
      <w:r>
        <w:rPr>
          <w:rFonts w:hint="eastAsia" w:cs="宋体" w:asciiTheme="minorEastAsia" w:hAnsiTheme="minorEastAsia"/>
          <w:kern w:val="1"/>
          <w:sz w:val="24"/>
          <w:lang w:val="en-US" w:eastAsia="zh-CN"/>
        </w:rPr>
        <w:t>76</w:t>
      </w:r>
      <w:r>
        <w:rPr>
          <w:rFonts w:hint="eastAsia" w:cs="宋体" w:asciiTheme="minorEastAsia" w:hAnsiTheme="minorEastAsia"/>
          <w:kern w:val="1"/>
          <w:sz w:val="24"/>
        </w:rPr>
        <w:t>号</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val="en-US" w:eastAsia="zh-CN"/>
        </w:rPr>
        <w:t>2023-2024年度</w:t>
      </w:r>
      <w:r>
        <w:rPr>
          <w:rFonts w:hint="eastAsia" w:cs="宋体" w:asciiTheme="minorEastAsia" w:hAnsiTheme="minorEastAsia"/>
          <w:kern w:val="1"/>
          <w:sz w:val="24"/>
          <w:lang w:eastAsia="zh-CN"/>
        </w:rPr>
        <w:t>零星工程招标代理及造价咨询服务采购项目</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hint="eastAsia" w:hAnsi="宋体"/>
          <w:sz w:val="24"/>
        </w:rPr>
        <w:t>本次招标的服务为</w:t>
      </w:r>
      <w:r>
        <w:rPr>
          <w:rFonts w:hint="eastAsia" w:ascii="宋体" w:hAnsi="宋体" w:eastAsiaTheme="minorEastAsia"/>
          <w:sz w:val="24"/>
          <w:lang w:eastAsia="zh-CN"/>
        </w:rPr>
        <w:t>零星工程招标代理及造价咨询服务</w:t>
      </w:r>
      <w:r>
        <w:rPr>
          <w:rFonts w:hint="eastAsia" w:hAnsi="宋体"/>
          <w:sz w:val="24"/>
        </w:rPr>
        <w:t>，</w:t>
      </w:r>
      <w:r>
        <w:rPr>
          <w:rFonts w:hint="eastAsia" w:ascii="宋体" w:hAnsi="宋体" w:eastAsiaTheme="minorEastAsia"/>
          <w:sz w:val="24"/>
          <w:lang w:eastAsia="zh-CN"/>
        </w:rPr>
        <w:t>服务期限</w:t>
      </w:r>
      <w:r>
        <w:rPr>
          <w:rFonts w:hint="eastAsia" w:ascii="宋体" w:hAnsi="宋体"/>
          <w:sz w:val="24"/>
          <w:lang w:val="en-US" w:eastAsia="zh-CN"/>
        </w:rPr>
        <w:t>2</w:t>
      </w:r>
      <w:r>
        <w:rPr>
          <w:rFonts w:hint="eastAsia" w:ascii="宋体" w:hAnsi="宋体" w:eastAsiaTheme="minorEastAsia"/>
          <w:sz w:val="24"/>
          <w:lang w:eastAsia="zh-CN"/>
        </w:rPr>
        <w:t>年。（合同期满后，视其服务能力与质量可续签一</w:t>
      </w:r>
      <w:r>
        <w:rPr>
          <w:rFonts w:hint="eastAsia" w:hAnsi="宋体"/>
          <w:sz w:val="24"/>
        </w:rPr>
        <w:t>年）。合同期内，院方保留终止合同重新招标的权利。</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24"/>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0" w:name="_Toc28359013"/>
      <w:bookmarkStart w:id="1" w:name="_Toc28359090"/>
      <w:bookmarkStart w:id="2" w:name="_Toc35393799"/>
      <w:bookmarkStart w:id="3" w:name="_Toc35393630"/>
      <w:r>
        <w:rPr>
          <w:rFonts w:hint="eastAsia" w:asciiTheme="minorEastAsia" w:hAnsiTheme="minorEastAsia"/>
          <w:b/>
          <w:sz w:val="28"/>
          <w:szCs w:val="28"/>
        </w:rPr>
        <w:t>申请人的资格要求：</w:t>
      </w:r>
      <w:bookmarkEnd w:id="0"/>
      <w:bookmarkEnd w:id="1"/>
      <w:bookmarkEnd w:id="2"/>
      <w:bookmarkEnd w:id="3"/>
    </w:p>
    <w:p>
      <w:pPr>
        <w:pStyle w:val="24"/>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24"/>
        <w:numPr>
          <w:ilvl w:val="0"/>
          <w:numId w:val="5"/>
        </w:numPr>
        <w:shd w:val="clear" w:color="auto" w:fill="FFFFFF"/>
        <w:tabs>
          <w:tab w:val="left" w:pos="284"/>
          <w:tab w:val="left" w:pos="6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24"/>
        <w:numPr>
          <w:ilvl w:val="0"/>
          <w:numId w:val="5"/>
        </w:numPr>
        <w:shd w:val="clear" w:color="auto" w:fill="FFFFFF"/>
        <w:tabs>
          <w:tab w:val="left" w:pos="284"/>
          <w:tab w:val="left" w:pos="6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24"/>
        <w:numPr>
          <w:ilvl w:val="0"/>
          <w:numId w:val="5"/>
        </w:numPr>
        <w:shd w:val="clear" w:color="auto" w:fill="FFFFFF"/>
        <w:tabs>
          <w:tab w:val="left" w:pos="284"/>
          <w:tab w:val="left" w:pos="6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24"/>
        <w:numPr>
          <w:ilvl w:val="0"/>
          <w:numId w:val="5"/>
        </w:numPr>
        <w:shd w:val="clear" w:color="auto" w:fill="FFFFFF"/>
        <w:tabs>
          <w:tab w:val="left" w:pos="284"/>
          <w:tab w:val="left" w:pos="6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24"/>
        <w:numPr>
          <w:ilvl w:val="0"/>
          <w:numId w:val="5"/>
        </w:numPr>
        <w:shd w:val="clear" w:color="auto" w:fill="FFFFFF"/>
        <w:tabs>
          <w:tab w:val="left" w:pos="284"/>
          <w:tab w:val="left" w:pos="6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24"/>
        <w:numPr>
          <w:ilvl w:val="0"/>
          <w:numId w:val="4"/>
        </w:numPr>
        <w:shd w:val="clear" w:color="auto" w:fill="FFFFFF"/>
        <w:tabs>
          <w:tab w:val="left" w:pos="284"/>
        </w:tabs>
        <w:spacing w:line="360" w:lineRule="auto"/>
        <w:ind w:firstLineChars="0"/>
        <w:rPr>
          <w:b/>
          <w:bCs/>
          <w:sz w:val="24"/>
        </w:rPr>
      </w:pPr>
      <w:r>
        <w:rPr>
          <w:rFonts w:hAnsi="宋体"/>
          <w:b/>
          <w:bCs/>
          <w:sz w:val="24"/>
        </w:rPr>
        <w:t>在中华人民共和国境内注册，</w:t>
      </w:r>
      <w:r>
        <w:rPr>
          <w:rFonts w:hAnsi="宋体"/>
          <w:b/>
          <w:bCs/>
          <w:sz w:val="24"/>
          <w:lang w:val="zh-CN"/>
        </w:rPr>
        <w:t>具有独立法人资格，有独立承担民事责任的能力，</w:t>
      </w:r>
      <w:r>
        <w:rPr>
          <w:rFonts w:hint="eastAsia" w:hAnsi="宋体"/>
          <w:b/>
          <w:bCs/>
          <w:sz w:val="24"/>
          <w:lang w:val="zh-CN"/>
        </w:rPr>
        <w:t>能从事政府采购招标代理业务；</w:t>
      </w:r>
    </w:p>
    <w:p>
      <w:pPr>
        <w:pStyle w:val="24"/>
        <w:numPr>
          <w:ilvl w:val="0"/>
          <w:numId w:val="4"/>
        </w:numPr>
        <w:shd w:val="clear" w:color="auto" w:fill="FFFFFF"/>
        <w:tabs>
          <w:tab w:val="left" w:pos="284"/>
        </w:tabs>
        <w:spacing w:line="360" w:lineRule="auto"/>
        <w:ind w:firstLineChars="0"/>
        <w:rPr>
          <w:rFonts w:hAnsi="宋体"/>
          <w:b/>
          <w:bCs/>
          <w:sz w:val="24"/>
          <w:lang w:eastAsia="zh-CN"/>
        </w:rPr>
      </w:pPr>
      <w:r>
        <w:rPr>
          <w:rFonts w:hAnsi="宋体"/>
          <w:b/>
          <w:bCs/>
          <w:sz w:val="24"/>
        </w:rPr>
        <w:t>具有较完整的内部管理制度，能确保招标工作规范进行，具有与</w:t>
      </w:r>
      <w:r>
        <w:rPr>
          <w:rFonts w:hint="eastAsia" w:hAnsi="宋体"/>
          <w:b/>
          <w:bCs/>
          <w:sz w:val="24"/>
        </w:rPr>
        <w:t>本项目</w:t>
      </w:r>
      <w:r>
        <w:rPr>
          <w:rFonts w:hAnsi="宋体"/>
          <w:b/>
          <w:bCs/>
          <w:sz w:val="24"/>
        </w:rPr>
        <w:t>招标代理相适应的工程技术人员</w:t>
      </w:r>
      <w:r>
        <w:rPr>
          <w:rFonts w:hint="eastAsia" w:hAnsi="宋体"/>
          <w:b/>
          <w:bCs/>
          <w:sz w:val="24"/>
          <w:lang w:eastAsia="zh-CN"/>
        </w:rPr>
        <w:t>；</w:t>
      </w:r>
      <w:r>
        <w:rPr>
          <w:rFonts w:hint="eastAsia" w:hAnsi="宋体"/>
          <w:b/>
          <w:bCs/>
          <w:sz w:val="24"/>
        </w:rPr>
        <w:t>投标单位项目负责人要求具有一级注册造价工程师（或原住建部颁发的注册造价工程师证书）</w:t>
      </w:r>
      <w:r>
        <w:rPr>
          <w:rFonts w:hint="eastAsia" w:hAnsi="宋体"/>
          <w:b/>
          <w:bCs/>
          <w:sz w:val="24"/>
          <w:lang w:eastAsia="zh-CN"/>
        </w:rPr>
        <w:t>。</w:t>
      </w:r>
    </w:p>
    <w:p>
      <w:pPr>
        <w:pStyle w:val="24"/>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24"/>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24"/>
        <w:numPr>
          <w:ilvl w:val="0"/>
          <w:numId w:val="2"/>
        </w:numPr>
        <w:tabs>
          <w:tab w:val="left" w:pos="284"/>
          <w:tab w:val="left" w:pos="600"/>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4"/>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4"/>
        <w:numPr>
          <w:ilvl w:val="0"/>
          <w:numId w:val="6"/>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2022年1</w:t>
      </w:r>
      <w:r>
        <w:rPr>
          <w:rFonts w:hint="eastAsia" w:cs="Arial" w:asciiTheme="minorEastAsia" w:hAnsiTheme="minorEastAsia"/>
          <w:b/>
          <w:sz w:val="24"/>
          <w:highlight w:val="yellow"/>
          <w:lang w:val="en-US" w:eastAsia="zh-CN"/>
        </w:rPr>
        <w:t>2</w:t>
      </w:r>
      <w:r>
        <w:rPr>
          <w:rFonts w:hint="eastAsia" w:cs="Arial" w:asciiTheme="minorEastAsia" w:hAnsiTheme="minorEastAsia"/>
          <w:b/>
          <w:sz w:val="24"/>
          <w:highlight w:val="yellow"/>
        </w:rPr>
        <w:t>月</w:t>
      </w:r>
      <w:r>
        <w:rPr>
          <w:rFonts w:hint="eastAsia" w:cs="Arial" w:asciiTheme="minorEastAsia" w:hAnsiTheme="minorEastAsia"/>
          <w:b/>
          <w:sz w:val="24"/>
          <w:highlight w:val="yellow"/>
          <w:lang w:val="en-US" w:eastAsia="zh-CN"/>
        </w:rPr>
        <w:t>21</w:t>
      </w:r>
      <w:r>
        <w:rPr>
          <w:rFonts w:hint="eastAsia" w:cs="Arial" w:asciiTheme="minorEastAsia" w:hAnsiTheme="minorEastAsia"/>
          <w:b/>
          <w:sz w:val="24"/>
          <w:highlight w:val="yellow"/>
        </w:rPr>
        <w:t>日12:00；</w:t>
      </w:r>
    </w:p>
    <w:p>
      <w:pPr>
        <w:pStyle w:val="4"/>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3</w:t>
      </w:r>
      <w:r>
        <w:rPr>
          <w:rFonts w:hint="eastAsia" w:cs="宋体" w:asciiTheme="minorEastAsia" w:hAnsiTheme="minorEastAsia"/>
          <w:sz w:val="24"/>
        </w:rPr>
        <w:t>:</w:t>
      </w:r>
      <w:r>
        <w:rPr>
          <w:rFonts w:hint="eastAsia" w:cs="宋体" w:asciiTheme="minorEastAsia" w:hAnsiTheme="minorEastAsia"/>
          <w:sz w:val="24"/>
          <w:lang w:val="en-US" w:eastAsia="zh-CN"/>
        </w:rPr>
        <w:t>3</w:t>
      </w:r>
      <w:bookmarkStart w:id="31" w:name="_GoBack"/>
      <w:bookmarkEnd w:id="31"/>
      <w:r>
        <w:rPr>
          <w:rFonts w:hint="eastAsia" w:cs="宋体" w:asciiTheme="minorEastAsia" w:hAnsiTheme="minorEastAsia"/>
          <w:sz w:val="24"/>
        </w:rPr>
        <w:t xml:space="preserve">0-17:00） </w:t>
      </w:r>
    </w:p>
    <w:p>
      <w:pPr>
        <w:pStyle w:val="4"/>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24"/>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24"/>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24"/>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24"/>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24"/>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24"/>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24"/>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 w:val="24"/>
          <w:szCs w:val="24"/>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24"/>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5" w:name="_Toc28359091"/>
      <w:bookmarkStart w:id="6" w:name="_Toc35393631"/>
      <w:bookmarkStart w:id="7" w:name="_Toc35393800"/>
      <w:bookmarkStart w:id="8" w:name="_Toc28359014"/>
      <w:r>
        <w:rPr>
          <w:rFonts w:hint="eastAsia" w:asciiTheme="minorEastAsia" w:hAnsiTheme="minorEastAsia"/>
          <w:b/>
          <w:sz w:val="28"/>
          <w:szCs w:val="28"/>
        </w:rPr>
        <w:t>获取采购文件</w:t>
      </w:r>
      <w:bookmarkEnd w:id="5"/>
      <w:bookmarkEnd w:id="6"/>
      <w:bookmarkEnd w:id="7"/>
      <w:bookmarkEnd w:id="8"/>
    </w:p>
    <w:p>
      <w:pPr>
        <w:pStyle w:val="24"/>
        <w:numPr>
          <w:ilvl w:val="0"/>
          <w:numId w:val="8"/>
        </w:numPr>
        <w:tabs>
          <w:tab w:val="left" w:pos="284"/>
        </w:tabs>
        <w:suppressAutoHyphens/>
        <w:spacing w:line="360" w:lineRule="auto"/>
        <w:ind w:firstLineChars="0"/>
        <w:rPr>
          <w:rFonts w:asciiTheme="minorEastAsia" w:hAnsiTheme="minorEastAsia"/>
        </w:rPr>
      </w:pPr>
      <w:bookmarkStart w:id="9" w:name="_Toc35393632"/>
      <w:bookmarkStart w:id="10" w:name="_Toc28359092"/>
      <w:bookmarkStart w:id="11" w:name="_Toc28359015"/>
      <w:bookmarkStart w:id="12" w:name="_Toc35393801"/>
      <w:r>
        <w:rPr>
          <w:rFonts w:hint="eastAsia" w:asciiTheme="minorEastAsia" w:hAnsiTheme="minorEastAsia"/>
          <w:lang w:eastAsia="zh-CN"/>
        </w:rPr>
        <w:t>时间：2022年1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15</w:t>
      </w:r>
      <w:r>
        <w:rPr>
          <w:rFonts w:hint="eastAsia" w:asciiTheme="minorEastAsia" w:hAnsiTheme="minorEastAsia"/>
          <w:lang w:eastAsia="zh-CN"/>
        </w:rPr>
        <w:t>日至2022年1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22</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24"/>
        <w:numPr>
          <w:ilvl w:val="0"/>
          <w:numId w:val="8"/>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24"/>
        <w:numPr>
          <w:ilvl w:val="0"/>
          <w:numId w:val="8"/>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624"/>
      <w:bookmarkStart w:id="16" w:name="_Toc35393793"/>
    </w:p>
    <w:p>
      <w:pPr>
        <w:pStyle w:val="24"/>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24"/>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24"/>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提交投标文件截止时间：2022年1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22</w:t>
      </w:r>
      <w:r>
        <w:rPr>
          <w:rFonts w:hint="eastAsia" w:asciiTheme="minorEastAsia" w:hAnsiTheme="minorEastAsia"/>
          <w:lang w:eastAsia="zh-CN"/>
        </w:rPr>
        <w:t>日 14:00整（北京时间），逾期作自动放弃处理。</w:t>
      </w:r>
    </w:p>
    <w:p>
      <w:pPr>
        <w:pStyle w:val="24"/>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24"/>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开标时间：2022年 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22</w:t>
      </w:r>
      <w:r>
        <w:rPr>
          <w:rFonts w:hint="eastAsia" w:asciiTheme="minorEastAsia" w:hAnsiTheme="minorEastAsia"/>
          <w:lang w:eastAsia="zh-CN"/>
        </w:rPr>
        <w:t>日 14:00整（北京时间）</w:t>
      </w:r>
    </w:p>
    <w:p>
      <w:pPr>
        <w:pStyle w:val="24"/>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按照新冠肺炎疫情防控工作要求，本项目采用不见面开标方式。请各投标人务必在开标当日14:00前将投标文件送达至指定地点</w:t>
      </w:r>
      <w:r>
        <w:rPr>
          <w:rFonts w:asciiTheme="minorEastAsia" w:hAnsiTheme="minorEastAsia"/>
          <w:b/>
          <w:lang w:eastAsia="zh-CN"/>
        </w:rPr>
        <w:t>[</w:t>
      </w:r>
      <w:r>
        <w:rPr>
          <w:rFonts w:hint="eastAsia" w:asciiTheme="minorEastAsia" w:hAnsiTheme="minorEastAsia"/>
          <w:b/>
          <w:lang w:eastAsia="zh-CN"/>
        </w:rPr>
        <w:t>请采用快递方式至浙江省嘉兴市中环南路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24"/>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17" w:name="_Toc28359094"/>
      <w:bookmarkStart w:id="18" w:name="_Toc35393634"/>
      <w:bookmarkStart w:id="19" w:name="_Toc35393803"/>
      <w:bookmarkStart w:id="20" w:name="_Toc28359017"/>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24"/>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24"/>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bookmarkStart w:id="23" w:name="_Toc35393805"/>
      <w:bookmarkStart w:id="24" w:name="_Toc35393636"/>
      <w:bookmarkStart w:id="25" w:name="_Toc28359095"/>
      <w:bookmarkStart w:id="26" w:name="_Toc28359018"/>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28359096"/>
      <w:bookmarkStart w:id="28" w:name="_Toc28359019"/>
      <w:bookmarkStart w:id="29" w:name="_Toc35393806"/>
      <w:bookmarkStart w:id="30" w:name="_Toc35393637"/>
    </w:p>
    <w:bookmarkEnd w:id="27"/>
    <w:bookmarkEnd w:id="28"/>
    <w:bookmarkEnd w:id="29"/>
    <w:bookmarkEnd w:id="30"/>
    <w:p>
      <w:pPr>
        <w:pStyle w:val="24"/>
        <w:numPr>
          <w:ilvl w:val="0"/>
          <w:numId w:val="10"/>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24"/>
        <w:numPr>
          <w:ilvl w:val="0"/>
          <w:numId w:val="10"/>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p>
      <w:pPr>
        <w:widowControl/>
        <w:jc w:val="left"/>
        <w:rPr>
          <w:rFonts w:asciiTheme="minorEastAsia" w:hAnsiTheme="minorEastAsia" w:eastAsiaTheme="minorEastAsia"/>
          <w:sz w:val="24"/>
          <w:szCs w:val="24"/>
        </w:rPr>
      </w:pPr>
    </w:p>
    <w:p>
      <w:pPr>
        <w:pStyle w:val="24"/>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5"/>
        <w:tblW w:w="9751" w:type="dxa"/>
        <w:jc w:val="center"/>
        <w:tblLayout w:type="fixed"/>
        <w:tblCellMar>
          <w:top w:w="0" w:type="dxa"/>
          <w:left w:w="0" w:type="dxa"/>
          <w:bottom w:w="0" w:type="dxa"/>
          <w:right w:w="0" w:type="dxa"/>
        </w:tblCellMar>
      </w:tblPr>
      <w:tblGrid>
        <w:gridCol w:w="741"/>
        <w:gridCol w:w="1930"/>
        <w:gridCol w:w="7080"/>
      </w:tblGrid>
      <w:tr>
        <w:tblPrEx>
          <w:tblCellMar>
            <w:top w:w="0" w:type="dxa"/>
            <w:left w:w="0" w:type="dxa"/>
            <w:bottom w:w="0" w:type="dxa"/>
            <w:right w:w="0" w:type="dxa"/>
          </w:tblCellMar>
        </w:tblPrEx>
        <w:trPr>
          <w:trHeight w:val="47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lang w:eastAsia="zh-CN"/>
              </w:rPr>
              <w:t>嘉兴市第一医院2023-2024年度零星工程招标代理及造价咨询服务采购项目</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投标人资格要求</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见招标公告</w:t>
            </w:r>
          </w:p>
        </w:tc>
      </w:tr>
      <w:tr>
        <w:tblPrEx>
          <w:tblCellMar>
            <w:top w:w="0" w:type="dxa"/>
            <w:left w:w="0" w:type="dxa"/>
            <w:bottom w:w="0" w:type="dxa"/>
            <w:right w:w="0" w:type="dxa"/>
          </w:tblCellMar>
        </w:tblPrEx>
        <w:trPr>
          <w:trHeight w:val="1654"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截止时间：2022年1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日12:00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lang w:eastAsia="zh-TW"/>
              </w:rPr>
              <w:t>评标结束后</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个工作日内在</w:t>
            </w:r>
            <w:r>
              <w:rPr>
                <w:rFonts w:hint="eastAsia" w:cs="宋体" w:asciiTheme="minorEastAsia" w:hAnsiTheme="minorEastAsia" w:eastAsiaTheme="minorEastAsia"/>
                <w:sz w:val="24"/>
              </w:rPr>
              <w:t>嘉兴市第一医院外网（</w:t>
            </w:r>
            <w:r>
              <w:rPr>
                <w:rFonts w:hint="eastAsia" w:cs="宋体" w:asciiTheme="minorEastAsia" w:hAnsiTheme="minorEastAsia" w:eastAsiaTheme="minorEastAsia"/>
                <w:sz w:val="28"/>
                <w:szCs w:val="28"/>
              </w:rPr>
              <w:t>http://www.jxdyyy.com</w:t>
            </w:r>
            <w:r>
              <w:rPr>
                <w:rFonts w:hint="eastAsia" w:cs="宋体" w:asciiTheme="minorEastAsia" w:hAnsiTheme="minorEastAsia" w:eastAsiaTheme="minorEastAsia"/>
                <w:sz w:val="24"/>
              </w:rPr>
              <w:t>）公告</w:t>
            </w:r>
            <w:r>
              <w:rPr>
                <w:rFonts w:hint="eastAsia" w:cs="宋体" w:asciiTheme="minorEastAsia" w:hAnsiTheme="minorEastAsia" w:eastAsiaTheme="minorEastAsia"/>
                <w:sz w:val="24"/>
                <w:lang w:eastAsia="zh-TW"/>
              </w:rPr>
              <w:t>，公告期为</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rPr>
              <w:t>2022年 1</w:t>
            </w:r>
            <w:r>
              <w:rPr>
                <w:rFonts w:hint="eastAsia" w:asciiTheme="minorEastAsia" w:hAnsiTheme="minorEastAsia" w:eastAsiaTheme="minorEastAsia"/>
                <w:kern w:val="2"/>
                <w:sz w:val="24"/>
                <w:szCs w:val="24"/>
                <w:lang w:val="en-US" w:eastAsia="zh-CN"/>
              </w:rPr>
              <w:t>2</w:t>
            </w:r>
            <w:r>
              <w:rPr>
                <w:rFonts w:hint="eastAsia" w:asciiTheme="minorEastAsia" w:hAnsiTheme="minorEastAsia" w:eastAsiaTheme="minorEastAsia"/>
                <w:kern w:val="2"/>
                <w:sz w:val="24"/>
                <w:szCs w:val="24"/>
              </w:rPr>
              <w:t>月</w:t>
            </w:r>
            <w:r>
              <w:rPr>
                <w:rFonts w:hint="eastAsia" w:asciiTheme="minorEastAsia" w:hAnsiTheme="minorEastAsia" w:eastAsiaTheme="minorEastAsia"/>
                <w:kern w:val="2"/>
                <w:sz w:val="24"/>
                <w:szCs w:val="24"/>
                <w:lang w:val="en-US" w:eastAsia="zh-CN"/>
              </w:rPr>
              <w:t>22</w:t>
            </w:r>
            <w:r>
              <w:rPr>
                <w:rFonts w:hint="eastAsia" w:asciiTheme="minorEastAsia" w:hAnsiTheme="minorEastAsia" w:eastAsiaTheme="minorEastAsia"/>
                <w:kern w:val="2"/>
                <w:sz w:val="24"/>
                <w:szCs w:val="24"/>
              </w:rPr>
              <w:t>日 14:00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：2022年</w:t>
            </w:r>
            <w:r>
              <w:rPr>
                <w:rFonts w:hint="eastAsia" w:cs="宋体" w:asciiTheme="minorEastAsia" w:hAnsiTheme="minorEastAsia" w:eastAsiaTheme="minorEastAsia"/>
                <w:b/>
                <w:sz w:val="24"/>
              </w:rPr>
              <w:t>1</w:t>
            </w:r>
            <w:r>
              <w:rPr>
                <w:rFonts w:hint="eastAsia" w:cs="宋体" w:asciiTheme="minorEastAsia" w:hAnsiTheme="minorEastAsia" w:eastAsiaTheme="minorEastAsia"/>
                <w:b/>
                <w:sz w:val="24"/>
                <w:lang w:val="en-US" w:eastAsia="zh-CN"/>
              </w:rPr>
              <w:t>2</w:t>
            </w:r>
            <w:r>
              <w:rPr>
                <w:rFonts w:hint="eastAsia" w:cs="宋体" w:asciiTheme="minorEastAsia" w:hAnsiTheme="minorEastAsia" w:eastAsiaTheme="minorEastAsia"/>
                <w:b/>
                <w:sz w:val="24"/>
                <w:lang w:eastAsia="zh-TW"/>
              </w:rPr>
              <w:t>月</w:t>
            </w:r>
            <w:r>
              <w:rPr>
                <w:rFonts w:hint="eastAsia" w:cs="宋体" w:asciiTheme="minorEastAsia" w:hAnsiTheme="minorEastAsia" w:eastAsiaTheme="minorEastAsia"/>
                <w:b/>
                <w:sz w:val="24"/>
                <w:lang w:val="en-US" w:eastAsia="zh-CN"/>
              </w:rPr>
              <w:t>22</w:t>
            </w:r>
            <w:r>
              <w:rPr>
                <w:rFonts w:hint="eastAsia" w:cs="宋体" w:asciiTheme="minorEastAsia" w:hAnsiTheme="minorEastAsia" w:eastAsiaTheme="minorEastAsia"/>
                <w:b/>
                <w:sz w:val="24"/>
                <w:lang w:eastAsia="zh-TW"/>
              </w:rPr>
              <w:t xml:space="preserve">日  </w:t>
            </w:r>
            <w:r>
              <w:rPr>
                <w:rFonts w:hint="eastAsia" w:cs="宋体" w:asciiTheme="minorEastAsia" w:hAnsiTheme="minorEastAsia" w:eastAsiaTheme="minorEastAsia"/>
                <w:b/>
                <w:sz w:val="24"/>
              </w:rPr>
              <w:t>14:00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19"/>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w:t>
            </w:r>
            <w:r>
              <w:rPr>
                <w:rFonts w:hint="eastAsia" w:cs="宋体" w:asciiTheme="minorEastAsia" w:hAnsiTheme="minorEastAsia" w:eastAsiaTheme="minorEastAsia"/>
                <w:lang w:val="en-US" w:eastAsia="zh-CN"/>
              </w:rPr>
              <w:t>5</w:t>
            </w:r>
            <w:r>
              <w:rPr>
                <w:rFonts w:hint="eastAsia" w:cs="宋体" w:asciiTheme="minorEastAsia" w:hAnsiTheme="minorEastAsia" w:eastAsiaTheme="minorEastAsia"/>
                <w:lang w:eastAsia="zh-TW"/>
              </w:rPr>
              <w:t>名的为中标候选人。</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招标人根据评标委员会推荐的中标候选人确定综合得分由高到低排名，中标人数量：</w:t>
            </w:r>
            <w:r>
              <w:rPr>
                <w:rFonts w:hint="eastAsia" w:cs="宋体" w:asciiTheme="minorEastAsia" w:hAnsiTheme="minorEastAsia" w:eastAsiaTheme="minorEastAsia"/>
                <w:b/>
                <w:sz w:val="24"/>
                <w:lang w:val="en-US" w:eastAsia="zh-CN"/>
              </w:rPr>
              <w:t>3</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val="en-US" w:eastAsia="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cs="宋体" w:asciiTheme="minorEastAsia" w:hAnsiTheme="minorEastAsia" w:eastAsiaTheme="minorEastAsia"/>
                <w:b/>
                <w:sz w:val="24"/>
              </w:rPr>
              <w:t>按照新冠肺炎疫情防控工作要求，本项目采用不见面开标方式。</w:t>
            </w:r>
            <w:r>
              <w:rPr>
                <w:rFonts w:hint="eastAsia" w:cs="宋体" w:asciiTheme="minorEastAsia" w:hAnsiTheme="minorEastAsia" w:eastAsiaTheme="minorEastAsia"/>
                <w:sz w:val="24"/>
              </w:rPr>
              <w:t>请各投标人务必在开标当日</w:t>
            </w:r>
            <w:r>
              <w:rPr>
                <w:rFonts w:hint="eastAsia" w:asciiTheme="minorEastAsia" w:hAnsiTheme="minorEastAsia"/>
                <w:b/>
                <w:sz w:val="24"/>
                <w:szCs w:val="24"/>
              </w:rPr>
              <w:t>14:00</w:t>
            </w:r>
            <w:r>
              <w:rPr>
                <w:rFonts w:hint="eastAsia" w:cs="宋体" w:asciiTheme="minorEastAsia" w:hAnsiTheme="minorEastAsia" w:eastAsiaTheme="minorEastAsia"/>
                <w:sz w:val="24"/>
              </w:rPr>
              <w:t>前将投标文件送达至指定地点</w:t>
            </w:r>
            <w:r>
              <w:rPr>
                <w:rFonts w:cs="宋体" w:asciiTheme="minorEastAsia" w:hAnsiTheme="minorEastAsia" w:eastAsiaTheme="minorEastAsia"/>
                <w:sz w:val="24"/>
              </w:rPr>
              <w:t>[</w:t>
            </w:r>
            <w:r>
              <w:rPr>
                <w:rFonts w:hint="eastAsia" w:cs="宋体" w:asciiTheme="minorEastAsia" w:hAnsiTheme="minorEastAsia" w:eastAsiaTheme="minorEastAsia"/>
                <w:b/>
                <w:sz w:val="24"/>
              </w:rPr>
              <w:t>请采用快递方式送达至浙江省嘉兴市中环南路</w:t>
            </w:r>
            <w:r>
              <w:rPr>
                <w:rFonts w:cs="宋体" w:asciiTheme="minorEastAsia" w:hAnsiTheme="minorEastAsia" w:eastAsiaTheme="minorEastAsia"/>
                <w:b/>
                <w:sz w:val="24"/>
              </w:rPr>
              <w:t xml:space="preserve"> 1882 </w:t>
            </w:r>
            <w:r>
              <w:rPr>
                <w:rFonts w:hint="eastAsia" w:cs="宋体" w:asciiTheme="minorEastAsia" w:hAnsiTheme="minorEastAsia" w:eastAsiaTheme="minorEastAsia"/>
                <w:b/>
                <w:sz w:val="24"/>
              </w:rPr>
              <w:t>号嘉兴市第一医院六号楼四楼招标采购中心</w:t>
            </w:r>
            <w:r>
              <w:rPr>
                <w:rFonts w:hint="eastAsia" w:cs="宋体" w:asciiTheme="minorEastAsia" w:hAnsiTheme="minorEastAsia" w:eastAsiaTheme="minorEastAsia"/>
                <w:sz w:val="24"/>
              </w:rPr>
              <w:t>（接收人喻老师，</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电话</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0573-82221162）</w:t>
            </w:r>
            <w:r>
              <w:rPr>
                <w:rFonts w:cs="宋体" w:asciiTheme="minorEastAsia" w:hAnsiTheme="minorEastAsia" w:eastAsiaTheme="minorEastAsia"/>
                <w:sz w:val="24"/>
              </w:rPr>
              <w:t>]</w:t>
            </w:r>
            <w:r>
              <w:rPr>
                <w:rFonts w:hint="eastAsia" w:cs="宋体" w:asciiTheme="minorEastAsia" w:hAnsiTheme="minorEastAsia" w:eastAsiaTheme="minorEastAsia"/>
                <w:sz w:val="24"/>
              </w:rPr>
              <w:t>，投标人代表不参加开标会议。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p>
        </w:tc>
        <w:tc>
          <w:tcPr>
            <w:tcW w:w="19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0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24"/>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24"/>
        <w:numPr>
          <w:ilvl w:val="0"/>
          <w:numId w:val="12"/>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24"/>
        <w:numPr>
          <w:ilvl w:val="0"/>
          <w:numId w:val="12"/>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24"/>
        <w:numPr>
          <w:ilvl w:val="0"/>
          <w:numId w:val="13"/>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24"/>
        <w:numPr>
          <w:ilvl w:val="0"/>
          <w:numId w:val="13"/>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24"/>
        <w:numPr>
          <w:ilvl w:val="0"/>
          <w:numId w:val="13"/>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24"/>
        <w:numPr>
          <w:ilvl w:val="0"/>
          <w:numId w:val="12"/>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24"/>
        <w:numPr>
          <w:ilvl w:val="0"/>
          <w:numId w:val="12"/>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24"/>
        <w:numPr>
          <w:ilvl w:val="0"/>
          <w:numId w:val="12"/>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24"/>
        <w:numPr>
          <w:ilvl w:val="0"/>
          <w:numId w:val="1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24"/>
        <w:numPr>
          <w:ilvl w:val="0"/>
          <w:numId w:val="14"/>
        </w:numPr>
        <w:tabs>
          <w:tab w:val="left" w:pos="284"/>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24"/>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（一）总体要求</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各招标代理机构应仔细阅读招标文件的所有内容，按本文件的要求提供招标响应文件，并保证所提供的全部资料的真实性，以使其招标响应文件对本文件作出实质性响应，否则，其招标响应文件可能视为无效。</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2、招标响应文件及各招标代理机构与本次招标有关的来往通知、函件和文件均应使用中文。</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3、各招标代理机构应按本文件中提供的文件格式、内容和要求制作招标响应文件。招标响应文件应装订成册。</w:t>
      </w:r>
    </w:p>
    <w:p>
      <w:p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（二）招标响应文件的组成</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各招标代理机构应按以下要求提供相关文件和材料，招标响应文件须提供</w:t>
      </w:r>
      <w:r>
        <w:rPr>
          <w:rFonts w:hint="eastAsia" w:asciiTheme="minorEastAsia" w:hAnsiTheme="minorEastAsia" w:eastAsiaTheme="minorEastAsia" w:cstheme="minorEastAsia"/>
          <w:bCs/>
          <w:sz w:val="24"/>
        </w:rPr>
        <w:t>正本一份、副本</w:t>
      </w:r>
      <w:r>
        <w:rPr>
          <w:rFonts w:hint="eastAsia" w:asciiTheme="minorEastAsia" w:hAnsiTheme="minorEastAsia" w:eastAsiaTheme="minorEastAsia" w:cstheme="minorEastAsia"/>
          <w:bCs/>
          <w:sz w:val="24"/>
          <w:lang w:val="en-US" w:eastAsia="zh-CN"/>
        </w:rPr>
        <w:t>三</w:t>
      </w:r>
      <w:r>
        <w:rPr>
          <w:rFonts w:hint="eastAsia" w:asciiTheme="minorEastAsia" w:hAnsiTheme="minorEastAsia" w:eastAsiaTheme="minorEastAsia" w:cstheme="minorEastAsia"/>
          <w:bCs/>
          <w:sz w:val="24"/>
        </w:rPr>
        <w:t>份。招标响应文件的</w:t>
      </w:r>
      <w:r>
        <w:rPr>
          <w:rFonts w:hint="eastAsia" w:asciiTheme="minorEastAsia" w:hAnsiTheme="minorEastAsia" w:eastAsiaTheme="minorEastAsia" w:cstheme="minorEastAsia"/>
          <w:sz w:val="24"/>
        </w:rPr>
        <w:t>内容应包括：</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 响应书（格式见附件一）；</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 报价一览表（格式见附件二）；</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 法定代表人授权书（格式见附件三）；</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 企业简介；</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 xml:space="preserve">5. </w:t>
      </w:r>
      <w:r>
        <w:rPr>
          <w:rFonts w:hint="eastAsia" w:asciiTheme="minorEastAsia" w:hAnsiTheme="minorEastAsia" w:eastAsiaTheme="minorEastAsia" w:cstheme="minorEastAsia"/>
          <w:kern w:val="0"/>
          <w:sz w:val="24"/>
        </w:rPr>
        <w:t>本项目的招标代理实施方案</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 招标代理机构的内控机制</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 xml:space="preserve">7. </w:t>
      </w:r>
      <w:r>
        <w:rPr>
          <w:rFonts w:hint="eastAsia" w:asciiTheme="minorEastAsia" w:hAnsiTheme="minorEastAsia" w:eastAsiaTheme="minorEastAsia" w:cstheme="minorEastAsia"/>
          <w:kern w:val="0"/>
          <w:sz w:val="24"/>
        </w:rPr>
        <w:t>招标代理机构从事招标代理服务年限证明资料</w:t>
      </w:r>
      <w:r>
        <w:rPr>
          <w:rFonts w:hint="eastAsia" w:asciiTheme="minorEastAsia" w:hAnsiTheme="minorEastAsia" w:eastAsiaTheme="minorEastAsia" w:cstheme="minorEastAsia"/>
          <w:kern w:val="0"/>
          <w:sz w:val="24"/>
          <w:highlight w:val="red"/>
        </w:rPr>
        <w:t>（截止202</w:t>
      </w:r>
      <w:r>
        <w:rPr>
          <w:rFonts w:hint="eastAsia" w:asciiTheme="minorEastAsia" w:hAnsiTheme="minorEastAsia" w:eastAsiaTheme="minorEastAsia" w:cstheme="minorEastAsia"/>
          <w:kern w:val="0"/>
          <w:sz w:val="24"/>
          <w:highlight w:val="red"/>
          <w:lang w:val="en-US" w:eastAsia="zh-CN"/>
        </w:rPr>
        <w:t>2</w:t>
      </w:r>
      <w:r>
        <w:rPr>
          <w:rFonts w:hint="eastAsia" w:asciiTheme="minorEastAsia" w:hAnsiTheme="minorEastAsia" w:eastAsiaTheme="minorEastAsia" w:cstheme="minorEastAsia"/>
          <w:kern w:val="0"/>
          <w:sz w:val="24"/>
          <w:highlight w:val="red"/>
        </w:rPr>
        <w:t>年1</w:t>
      </w:r>
      <w:r>
        <w:rPr>
          <w:rFonts w:hint="eastAsia" w:asciiTheme="minorEastAsia" w:hAnsiTheme="minorEastAsia" w:eastAsiaTheme="minorEastAsia" w:cstheme="minorEastAsia"/>
          <w:kern w:val="0"/>
          <w:sz w:val="24"/>
          <w:highlight w:val="red"/>
          <w:lang w:val="en-US" w:eastAsia="zh-CN"/>
        </w:rPr>
        <w:t>2</w:t>
      </w:r>
      <w:r>
        <w:rPr>
          <w:rFonts w:hint="eastAsia" w:asciiTheme="minorEastAsia" w:hAnsiTheme="minorEastAsia" w:eastAsiaTheme="minorEastAsia" w:cstheme="minorEastAsia"/>
          <w:kern w:val="0"/>
          <w:sz w:val="24"/>
          <w:highlight w:val="red"/>
        </w:rPr>
        <w:t>月</w:t>
      </w:r>
      <w:r>
        <w:rPr>
          <w:rFonts w:hint="eastAsia" w:asciiTheme="minorEastAsia" w:hAnsiTheme="minorEastAsia" w:eastAsiaTheme="minorEastAsia" w:cstheme="minorEastAsia"/>
          <w:kern w:val="0"/>
          <w:sz w:val="24"/>
          <w:highlight w:val="red"/>
          <w:lang w:val="en-US" w:eastAsia="zh-CN"/>
        </w:rPr>
        <w:t>15</w:t>
      </w:r>
      <w:r>
        <w:rPr>
          <w:rFonts w:hint="eastAsia" w:asciiTheme="minorEastAsia" w:hAnsiTheme="minorEastAsia" w:eastAsiaTheme="minorEastAsia" w:cstheme="minorEastAsia"/>
          <w:kern w:val="0"/>
          <w:sz w:val="24"/>
          <w:highlight w:val="red"/>
        </w:rPr>
        <w:t>日）</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rPr>
        <w:t xml:space="preserve">8. </w:t>
      </w:r>
      <w:r>
        <w:rPr>
          <w:rFonts w:hint="eastAsia" w:asciiTheme="minorEastAsia" w:hAnsiTheme="minorEastAsia" w:eastAsiaTheme="minorEastAsia" w:cstheme="minorEastAsia"/>
          <w:bCs/>
          <w:sz w:val="24"/>
        </w:rPr>
        <w:t>从事医院招标代理服务项目情况，提供相关资料</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 xml:space="preserve">9. </w:t>
      </w:r>
      <w:r>
        <w:rPr>
          <w:rFonts w:hint="eastAsia" w:asciiTheme="minorEastAsia" w:hAnsiTheme="minorEastAsia" w:eastAsiaTheme="minorEastAsia" w:cstheme="minorEastAsia"/>
          <w:kern w:val="0"/>
          <w:sz w:val="24"/>
        </w:rPr>
        <w:t>项目组人员组成和分工</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 特色服务和承诺</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 营业执照副本复印件；</w:t>
      </w:r>
    </w:p>
    <w:p>
      <w:pPr>
        <w:spacing w:line="360" w:lineRule="auto"/>
        <w:rPr>
          <w:rFonts w:hint="eastAsia" w:ascii="宋体" w:hAnsi="宋体" w:cs="宋体"/>
          <w:kern w:val="0"/>
          <w:sz w:val="24"/>
        </w:rPr>
      </w:pPr>
      <w:r>
        <w:rPr>
          <w:rFonts w:hint="eastAsia" w:asciiTheme="minorEastAsia" w:hAnsiTheme="minorEastAsia" w:eastAsiaTheme="minorEastAsia" w:cstheme="minorEastAsia"/>
          <w:kern w:val="0"/>
          <w:sz w:val="24"/>
        </w:rPr>
        <w:t>12. 招标代理机构认为需要的其他资料</w:t>
      </w:r>
      <w:r>
        <w:rPr>
          <w:rFonts w:hint="eastAsia" w:ascii="宋体" w:hAnsi="宋体" w:cs="宋体"/>
          <w:kern w:val="0"/>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 </w:t>
      </w:r>
    </w:p>
    <w:p>
      <w:pPr>
        <w:pStyle w:val="24"/>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24"/>
        <w:numPr>
          <w:ilvl w:val="0"/>
          <w:numId w:val="16"/>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24"/>
        <w:numPr>
          <w:ilvl w:val="0"/>
          <w:numId w:val="16"/>
        </w:numPr>
        <w:tabs>
          <w:tab w:val="left" w:pos="284"/>
          <w:tab w:val="left" w:pos="400"/>
        </w:tabs>
        <w:snapToGrid w:val="0"/>
        <w:spacing w:line="460" w:lineRule="exact"/>
        <w:ind w:firstLineChars="0"/>
        <w:rPr>
          <w:rFonts w:asciiTheme="minorEastAsia" w:hAnsiTheme="minorEastAsia"/>
          <w:lang w:eastAsia="zh-CN"/>
        </w:rPr>
      </w:pPr>
      <w:r>
        <w:rPr>
          <w:rFonts w:hint="eastAsia"/>
          <w:color w:val="000000"/>
          <w:sz w:val="24"/>
          <w:highlight w:val="none"/>
        </w:rPr>
        <w:t>响应报价中，除包含上述招标代理范围和招标代理工作内容中的所有工作开支外，还应包括公告费、资料费、交通费、场租费、专家评审费等所有费用。</w:t>
      </w:r>
    </w:p>
    <w:p>
      <w:pPr>
        <w:pStyle w:val="24"/>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24"/>
        <w:numPr>
          <w:ilvl w:val="0"/>
          <w:numId w:val="17"/>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24"/>
        <w:numPr>
          <w:ilvl w:val="0"/>
          <w:numId w:val="17"/>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24"/>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24"/>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24"/>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24"/>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24"/>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24"/>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24"/>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24"/>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24"/>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24"/>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24"/>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24"/>
        <w:numPr>
          <w:ilvl w:val="0"/>
          <w:numId w:val="19"/>
        </w:numPr>
        <w:tabs>
          <w:tab w:val="left" w:pos="284"/>
        </w:tabs>
        <w:snapToGrid w:val="0"/>
        <w:spacing w:line="460" w:lineRule="exact"/>
        <w:ind w:firstLineChars="0"/>
        <w:rPr>
          <w:rFonts w:asciiTheme="minorEastAsia" w:hAnsiTheme="minorEastAsia"/>
          <w:lang w:eastAsia="zh-CN"/>
        </w:rPr>
      </w:pPr>
      <w:r>
        <w:rPr>
          <w:rFonts w:hAnsi="宋体"/>
          <w:sz w:val="24"/>
        </w:rPr>
        <w:t>资格证明文件不全，致使无法确认招标代理机构的投标资格的</w:t>
      </w:r>
      <w:r>
        <w:rPr>
          <w:rFonts w:asciiTheme="minorEastAsia" w:hAnsiTheme="minorEastAsia"/>
          <w:lang w:eastAsia="zh-CN"/>
        </w:rPr>
        <w:t>；</w:t>
      </w:r>
    </w:p>
    <w:p>
      <w:pPr>
        <w:pStyle w:val="24"/>
        <w:numPr>
          <w:ilvl w:val="0"/>
          <w:numId w:val="19"/>
        </w:numPr>
        <w:tabs>
          <w:tab w:val="left" w:pos="284"/>
        </w:tabs>
        <w:snapToGrid w:val="0"/>
        <w:spacing w:line="460" w:lineRule="exact"/>
        <w:ind w:firstLineChars="0"/>
        <w:rPr>
          <w:rFonts w:asciiTheme="minorEastAsia" w:hAnsiTheme="minorEastAsia"/>
          <w:lang w:eastAsia="zh-CN"/>
        </w:rPr>
      </w:pPr>
      <w:r>
        <w:rPr>
          <w:rFonts w:hAnsi="宋体"/>
          <w:bCs/>
          <w:sz w:val="24"/>
        </w:rPr>
        <w:t>超出经营范围</w:t>
      </w:r>
      <w:r>
        <w:rPr>
          <w:rFonts w:hint="eastAsia" w:hAnsi="宋体"/>
          <w:bCs/>
          <w:sz w:val="24"/>
        </w:rPr>
        <w:t>响应</w:t>
      </w:r>
      <w:r>
        <w:rPr>
          <w:rFonts w:hAnsi="宋体"/>
          <w:bCs/>
          <w:sz w:val="24"/>
        </w:rPr>
        <w:t>的</w:t>
      </w:r>
      <w:r>
        <w:rPr>
          <w:rFonts w:hint="eastAsia" w:hAnsi="宋体"/>
          <w:bCs/>
          <w:sz w:val="24"/>
          <w:lang w:eastAsia="zh-CN"/>
        </w:rPr>
        <w:t>；</w:t>
      </w:r>
    </w:p>
    <w:p>
      <w:pPr>
        <w:pStyle w:val="24"/>
        <w:numPr>
          <w:ilvl w:val="0"/>
          <w:numId w:val="19"/>
        </w:numPr>
        <w:tabs>
          <w:tab w:val="left" w:pos="284"/>
          <w:tab w:val="left" w:pos="600"/>
          <w:tab w:val="left" w:pos="1000"/>
        </w:tabs>
        <w:snapToGrid w:val="0"/>
        <w:spacing w:line="460" w:lineRule="exact"/>
        <w:ind w:firstLineChars="0"/>
        <w:rPr>
          <w:rFonts w:asciiTheme="minorEastAsia" w:hAnsiTheme="minorEastAsia"/>
          <w:lang w:eastAsia="zh-CN"/>
        </w:rPr>
      </w:pPr>
      <w:r>
        <w:rPr>
          <w:rFonts w:hint="eastAsia" w:hAnsi="宋体"/>
          <w:bCs/>
          <w:sz w:val="24"/>
        </w:rPr>
        <w:t>无法满足以下收费方式：</w:t>
      </w:r>
      <w:r>
        <w:rPr>
          <w:rFonts w:hint="eastAsia" w:ascii="宋体" w:hAnsi="宋体" w:eastAsia="宋体" w:cs="宋体"/>
          <w:bCs/>
          <w:color w:val="000000"/>
          <w:sz w:val="24"/>
          <w:highlight w:val="none"/>
        </w:rPr>
        <w:t>国家发展计划委员会计价格【2002】1980号文《招标代理服务收费管理办法》、发改办价格[2003]857号文、发改价格【2011】534号文和浙价服（2009）84号《浙江省物价局关于进一步完善工程造价咨询服务收费的通知》。</w:t>
      </w:r>
    </w:p>
    <w:p>
      <w:pPr>
        <w:pStyle w:val="24"/>
        <w:numPr>
          <w:ilvl w:val="0"/>
          <w:numId w:val="19"/>
        </w:numPr>
        <w:tabs>
          <w:tab w:val="left" w:pos="284"/>
          <w:tab w:val="left" w:pos="600"/>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24"/>
        <w:numPr>
          <w:ilvl w:val="0"/>
          <w:numId w:val="19"/>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24"/>
        <w:numPr>
          <w:ilvl w:val="0"/>
          <w:numId w:val="11"/>
        </w:numPr>
        <w:tabs>
          <w:tab w:val="left" w:pos="284"/>
          <w:tab w:val="left" w:pos="600"/>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根据疫情防控需要,本项目不要求投标人(法定代表人或授权委托人)至开标现场参加开标活动。投标人应根据招标文件前附表要求，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在规定的时间内将投标文件采用快递的方式，于开标当日14:00之前送达至浙江省嘉兴市中环南路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，联系人：喻老师，联系电话：18868029150或0573-82221162。所有未寄达或未送达上述指定地点的投标文件，视作投标人主动放弃。</w:t>
      </w:r>
    </w:p>
    <w:p>
      <w:pPr>
        <w:pStyle w:val="24"/>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24"/>
        <w:numPr>
          <w:ilvl w:val="0"/>
          <w:numId w:val="20"/>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24"/>
        <w:numPr>
          <w:ilvl w:val="0"/>
          <w:numId w:val="20"/>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24"/>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24"/>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24"/>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24"/>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24"/>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24"/>
        <w:numPr>
          <w:ilvl w:val="0"/>
          <w:numId w:val="20"/>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numPr>
          <w:ilvl w:val="0"/>
          <w:numId w:val="20"/>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24"/>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24"/>
        <w:numPr>
          <w:ilvl w:val="0"/>
          <w:numId w:val="22"/>
        </w:numPr>
        <w:tabs>
          <w:tab w:val="left" w:pos="284"/>
        </w:tabs>
        <w:snapToGrid w:val="0"/>
        <w:spacing w:line="460" w:lineRule="exact"/>
        <w:ind w:firstLineChars="0"/>
        <w:rPr>
          <w:rFonts w:hint="eastAsia"/>
          <w:sz w:val="24"/>
        </w:rPr>
      </w:pPr>
      <w:r>
        <w:rPr>
          <w:rFonts w:hint="eastAsia" w:hAnsi="宋体"/>
          <w:sz w:val="24"/>
          <w:highlight w:val="yellow"/>
        </w:rPr>
        <w:t>由医院招标评审小组在审阅各招标代理机构招标响应文件后，根据评分标准进行打分，根据得分高低排序，得分最高的</w:t>
      </w:r>
      <w:r>
        <w:rPr>
          <w:rFonts w:hint="eastAsia" w:hAnsi="宋体"/>
          <w:sz w:val="24"/>
          <w:highlight w:val="yellow"/>
          <w:lang w:val="en-US" w:eastAsia="zh-CN"/>
        </w:rPr>
        <w:t>前三</w:t>
      </w:r>
      <w:r>
        <w:rPr>
          <w:rFonts w:hint="eastAsia" w:hAnsi="宋体"/>
          <w:sz w:val="24"/>
          <w:highlight w:val="yellow"/>
        </w:rPr>
        <w:t>名为招标中标单位。</w:t>
      </w:r>
      <w:r>
        <w:rPr>
          <w:rFonts w:hAnsi="宋体"/>
          <w:sz w:val="24"/>
          <w:highlight w:val="yellow"/>
        </w:rPr>
        <w:t>具体评标内容及评分标准等详见《第</w:t>
      </w:r>
      <w:r>
        <w:rPr>
          <w:rFonts w:hint="eastAsia" w:hAnsi="宋体"/>
          <w:sz w:val="24"/>
          <w:highlight w:val="yellow"/>
        </w:rPr>
        <w:t>三</w:t>
      </w:r>
      <w:r>
        <w:rPr>
          <w:rFonts w:hAnsi="宋体"/>
          <w:sz w:val="24"/>
          <w:highlight w:val="yellow"/>
        </w:rPr>
        <w:t>章：评</w:t>
      </w:r>
      <w:r>
        <w:rPr>
          <w:rFonts w:hint="eastAsia" w:hAnsi="宋体"/>
          <w:sz w:val="24"/>
          <w:highlight w:val="yellow"/>
        </w:rPr>
        <w:t>定内容</w:t>
      </w:r>
      <w:r>
        <w:rPr>
          <w:rFonts w:hAnsi="宋体"/>
          <w:sz w:val="24"/>
          <w:highlight w:val="yellow"/>
        </w:rPr>
        <w:t>及评</w:t>
      </w:r>
      <w:r>
        <w:rPr>
          <w:rFonts w:hint="eastAsia" w:hAnsi="宋体"/>
          <w:sz w:val="24"/>
          <w:highlight w:val="yellow"/>
          <w:lang w:val="en-US" w:eastAsia="zh-CN"/>
        </w:rPr>
        <w:t>分</w:t>
      </w:r>
      <w:r>
        <w:rPr>
          <w:rFonts w:hAnsi="宋体"/>
          <w:sz w:val="24"/>
          <w:highlight w:val="yellow"/>
        </w:rPr>
        <w:t>标准》</w:t>
      </w:r>
      <w:r>
        <w:rPr>
          <w:rFonts w:hint="eastAsia" w:hAnsi="宋体"/>
          <w:sz w:val="24"/>
          <w:highlight w:val="yellow"/>
        </w:rPr>
        <w:t>。</w:t>
      </w:r>
    </w:p>
    <w:p>
      <w:pPr>
        <w:pStyle w:val="24"/>
        <w:numPr>
          <w:ilvl w:val="0"/>
          <w:numId w:val="22"/>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24"/>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24"/>
        <w:numPr>
          <w:ilvl w:val="0"/>
          <w:numId w:val="22"/>
        </w:numPr>
        <w:tabs>
          <w:tab w:val="left" w:pos="284"/>
        </w:tabs>
        <w:snapToGrid w:val="0"/>
        <w:spacing w:line="460" w:lineRule="exact"/>
        <w:ind w:firstLineChars="0"/>
        <w:rPr>
          <w:rFonts w:asciiTheme="minorEastAsia" w:hAnsiTheme="minorEastAsia" w:eastAsiaTheme="minorEastAsia"/>
          <w:b/>
          <w:sz w:val="36"/>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24"/>
        <w:numPr>
          <w:ilvl w:val="0"/>
          <w:numId w:val="11"/>
        </w:numPr>
        <w:tabs>
          <w:tab w:val="left" w:pos="284"/>
          <w:tab w:val="left" w:pos="600"/>
        </w:tabs>
        <w:snapToGrid w:val="0"/>
        <w:spacing w:before="120" w:after="120" w:line="460" w:lineRule="exact"/>
        <w:ind w:firstLineChars="0"/>
        <w:rPr>
          <w:rFonts w:hint="eastAsia" w:asciiTheme="minorEastAsia" w:hAnsiTheme="minorEastAsia"/>
          <w:b/>
          <w:sz w:val="30"/>
        </w:rPr>
      </w:pPr>
      <w:r>
        <w:rPr>
          <w:rFonts w:hint="eastAsia" w:asciiTheme="minorEastAsia" w:hAnsiTheme="minorEastAsia"/>
          <w:b/>
          <w:sz w:val="30"/>
        </w:rPr>
        <w:t>付款及结算</w:t>
      </w:r>
    </w:p>
    <w:p>
      <w:pPr>
        <w:pStyle w:val="19"/>
        <w:ind w:firstLine="48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1、单个项目的招标代理服务费和造价咨询费（工程量清单和招标控制价编制费）由该项目的中标人支付，在中标通知书发布后收取。</w:t>
      </w:r>
    </w:p>
    <w:p>
      <w:pPr>
        <w:pStyle w:val="19"/>
        <w:ind w:firstLine="480" w:firstLineChars="200"/>
        <w:rPr>
          <w:rFonts w:asciiTheme="minorEastAsia" w:hAnsiTheme="minorEastAsia" w:eastAsiaTheme="minorEastAsia"/>
          <w:b/>
          <w:sz w:val="36"/>
        </w:rPr>
      </w:pPr>
      <w:r>
        <w:rPr>
          <w:rFonts w:hint="eastAsia" w:ascii="宋体" w:hAnsi="宋体"/>
          <w:sz w:val="24"/>
          <w:szCs w:val="24"/>
          <w:lang w:val="en-US" w:eastAsia="zh-CN"/>
        </w:rPr>
        <w:t>2、单独委托的造价咨询项目，</w:t>
      </w:r>
      <w:r>
        <w:rPr>
          <w:rFonts w:hint="eastAsia" w:ascii="宋体" w:hAnsi="宋体"/>
          <w:sz w:val="24"/>
          <w:szCs w:val="24"/>
        </w:rPr>
        <w:t>合同签订后以六个月为费用结算周期。结算时，</w:t>
      </w:r>
      <w:r>
        <w:rPr>
          <w:rFonts w:hint="eastAsia" w:ascii="宋体" w:hAnsi="宋体"/>
          <w:sz w:val="24"/>
          <w:szCs w:val="24"/>
          <w:lang w:val="en-US" w:eastAsia="zh-CN"/>
        </w:rPr>
        <w:t>造价咨询</w:t>
      </w:r>
      <w:r>
        <w:rPr>
          <w:rFonts w:hint="eastAsia" w:ascii="宋体" w:hAnsi="宋体"/>
          <w:sz w:val="24"/>
          <w:szCs w:val="24"/>
        </w:rPr>
        <w:t>单位应先出具六个月内各项</w:t>
      </w:r>
      <w:r>
        <w:rPr>
          <w:rFonts w:hint="eastAsia" w:ascii="宋体" w:hAnsi="宋体"/>
          <w:sz w:val="24"/>
          <w:szCs w:val="24"/>
          <w:lang w:val="en-US" w:eastAsia="zh-CN"/>
        </w:rPr>
        <w:t>单独</w:t>
      </w:r>
      <w:r>
        <w:rPr>
          <w:rFonts w:hint="eastAsia" w:ascii="宋体" w:hAnsi="宋体"/>
          <w:sz w:val="24"/>
          <w:szCs w:val="24"/>
        </w:rPr>
        <w:t>工程造价咨询服务结算详单，经签字确认后，一次性付清。</w:t>
      </w:r>
    </w:p>
    <w:p>
      <w:pPr>
        <w:pStyle w:val="19"/>
        <w:ind w:firstLine="0"/>
        <w:rPr>
          <w:rFonts w:asciiTheme="minorEastAsia" w:hAnsiTheme="minorEastAsia" w:eastAsiaTheme="minorEastAsia"/>
        </w:rPr>
      </w:pPr>
    </w:p>
    <w:p>
      <w:pPr>
        <w:rPr>
          <w:rFonts w:asciiTheme="minorEastAsia" w:hAnsiTheme="minorEastAsia"/>
          <w:b/>
          <w:sz w:val="36"/>
        </w:rPr>
      </w:pPr>
      <w:r>
        <w:rPr>
          <w:rFonts w:asciiTheme="minorEastAsia" w:hAnsiTheme="minorEastAsia"/>
          <w:b/>
          <w:sz w:val="36"/>
        </w:rPr>
        <w:br w:type="page"/>
      </w:r>
    </w:p>
    <w:p>
      <w:pPr>
        <w:pStyle w:val="24"/>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w:t>
      </w:r>
      <w:r>
        <w:rPr>
          <w:rFonts w:hint="eastAsia" w:asciiTheme="minorEastAsia" w:hAnsiTheme="minorEastAsia"/>
          <w:b/>
          <w:sz w:val="36"/>
          <w:lang w:val="en-US" w:eastAsia="zh-CN"/>
        </w:rPr>
        <w:t>定内容</w:t>
      </w:r>
      <w:r>
        <w:rPr>
          <w:rFonts w:asciiTheme="minorEastAsia" w:hAnsiTheme="minorEastAsia"/>
          <w:b/>
          <w:sz w:val="36"/>
        </w:rPr>
        <w:t>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24"/>
        <w:numPr>
          <w:ilvl w:val="0"/>
          <w:numId w:val="23"/>
        </w:numPr>
        <w:tabs>
          <w:tab w:val="left" w:pos="284"/>
        </w:tabs>
        <w:snapToGrid w:val="0"/>
        <w:spacing w:before="120" w:after="120" w:line="360" w:lineRule="auto"/>
        <w:ind w:left="567" w:hanging="567" w:firstLineChars="0"/>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总则</w:t>
      </w:r>
    </w:p>
    <w:p>
      <w:pPr>
        <w:pStyle w:val="37"/>
        <w:widowControl w:val="0"/>
        <w:adjustRightInd w:val="0"/>
        <w:snapToGrid w:val="0"/>
        <w:spacing w:before="0" w:beforeAutospacing="0" w:after="0" w:afterAutospacing="0" w:line="360" w:lineRule="auto"/>
        <w:rPr>
          <w:rFonts w:hint="eastAsia"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评审委员会根据综合评分对响应文件进行排序，得分从高到低排名，并推荐成交候选人。得分相同时，报价低者优先；得分、报价均相同时，由评审委员会全体成员记名投票（不得弃权）决定排序。</w:t>
      </w:r>
      <w:r>
        <w:rPr>
          <w:rFonts w:hint="eastAsia"/>
          <w:color w:val="000000"/>
          <w:highlight w:val="none"/>
        </w:rPr>
        <w:t>评审委员会对响应文件作出的评审结论、</w:t>
      </w:r>
      <w:r>
        <w:rPr>
          <w:rFonts w:hint="eastAsia" w:asciiTheme="minorEastAsia" w:hAnsiTheme="minorEastAsia" w:eastAsiaTheme="minorEastAsia"/>
          <w:sz w:val="24"/>
          <w:szCs w:val="24"/>
          <w:lang w:eastAsia="zh-TW"/>
        </w:rPr>
        <w:t>应当符合有关法律、法规、规章和采购文件的规定。</w:t>
      </w:r>
    </w:p>
    <w:p>
      <w:pPr>
        <w:pStyle w:val="37"/>
        <w:widowControl w:val="0"/>
        <w:adjustRightInd w:val="0"/>
        <w:snapToGrid w:val="0"/>
        <w:spacing w:before="0" w:beforeAutospacing="0" w:after="0" w:afterAutospacing="0" w:line="360" w:lineRule="auto"/>
        <w:rPr>
          <w:rFonts w:hint="eastAsia" w:asciiTheme="minorEastAsia" w:hAnsiTheme="minorEastAsia" w:eastAsiaTheme="minorEastAsia"/>
          <w:sz w:val="24"/>
          <w:szCs w:val="24"/>
          <w:lang w:eastAsia="zh-TW"/>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TW"/>
        </w:rPr>
        <w:t>响应文件的综合评分为响应文件的商务技术评分、报价评分两部分之和。</w:t>
      </w:r>
    </w:p>
    <w:p>
      <w:pPr>
        <w:pStyle w:val="37"/>
        <w:widowControl w:val="0"/>
        <w:adjustRightInd w:val="0"/>
        <w:snapToGrid w:val="0"/>
        <w:spacing w:before="0" w:beforeAutospacing="0" w:after="0" w:afterAutospacing="0" w:line="360" w:lineRule="auto"/>
        <w:rPr>
          <w:rFonts w:hint="eastAsia" w:asciiTheme="minorEastAsia" w:hAnsiTheme="minorEastAsia" w:eastAsiaTheme="minorEastAsia"/>
          <w:sz w:val="24"/>
          <w:szCs w:val="24"/>
          <w:highlight w:val="yellow"/>
          <w:lang w:eastAsia="zh-TW"/>
        </w:rPr>
      </w:pPr>
      <w:r>
        <w:rPr>
          <w:rFonts w:hint="eastAsia" w:asciiTheme="minorEastAsia" w:hAnsiTheme="minorEastAsia" w:eastAsiaTheme="minorEastAsia"/>
          <w:sz w:val="24"/>
          <w:szCs w:val="24"/>
          <w:highlight w:val="yellow"/>
          <w:lang w:eastAsia="zh-TW"/>
        </w:rPr>
        <w:t>2、最终服务收费结算办法由评标小组根据拟入围候选人投标报价的平均值确定。</w:t>
      </w:r>
    </w:p>
    <w:p>
      <w:pPr>
        <w:pStyle w:val="24"/>
        <w:numPr>
          <w:ilvl w:val="0"/>
          <w:numId w:val="23"/>
        </w:numPr>
        <w:tabs>
          <w:tab w:val="left" w:pos="284"/>
        </w:tabs>
        <w:snapToGrid w:val="0"/>
        <w:spacing w:before="120" w:after="120" w:line="360" w:lineRule="auto"/>
        <w:ind w:left="567" w:hanging="567" w:firstLineChars="0"/>
        <w:rPr>
          <w:rFonts w:asciiTheme="minorEastAsia" w:hAnsiTheme="minorEastAsia" w:eastAsiaTheme="minorEastAsia"/>
          <w:b/>
          <w:bCs/>
          <w:sz w:val="24"/>
          <w:szCs w:val="24"/>
          <w:lang w:eastAsia="zh-TW"/>
        </w:rPr>
      </w:pPr>
      <w:r>
        <w:rPr>
          <w:rFonts w:hint="eastAsia" w:asciiTheme="minorEastAsia" w:hAnsiTheme="minorEastAsia"/>
          <w:b/>
          <w:bCs/>
          <w:sz w:val="24"/>
          <w:szCs w:val="24"/>
          <w:lang w:val="en-US" w:eastAsia="zh-CN"/>
        </w:rPr>
        <w:t>报价评分（20分）</w:t>
      </w:r>
    </w:p>
    <w:p>
      <w:pPr>
        <w:pStyle w:val="14"/>
        <w:widowControl w:val="0"/>
        <w:adjustRightInd w:val="0"/>
        <w:snapToGrid w:val="0"/>
        <w:spacing w:before="0" w:beforeAutospacing="0" w:after="0" w:afterAutospacing="0" w:line="360" w:lineRule="auto"/>
        <w:ind w:firstLine="480" w:firstLineChars="200"/>
        <w:jc w:val="both"/>
        <w:rPr>
          <w:rFonts w:hint="eastAsia" w:eastAsia="宋体" w:cs="宋体"/>
          <w:color w:val="000000"/>
          <w:kern w:val="2"/>
          <w:highlight w:val="none"/>
        </w:rPr>
      </w:pPr>
      <w:r>
        <w:rPr>
          <w:rFonts w:hint="eastAsia" w:eastAsia="宋体" w:cs="宋体"/>
          <w:color w:val="000000"/>
          <w:kern w:val="2"/>
          <w:highlight w:val="none"/>
        </w:rPr>
        <w:t>报价评审应以报价口径范围一致的投标评审价为依据。投标评审价应在最终报价的基础上，按照响应文件约定的因素和方法进行计算。凡属响应文件的原因造成报价口径范围不一致的，应调整供应商报价。</w:t>
      </w:r>
    </w:p>
    <w:p>
      <w:pPr>
        <w:pStyle w:val="14"/>
        <w:widowControl w:val="0"/>
        <w:adjustRightInd w:val="0"/>
        <w:snapToGrid w:val="0"/>
        <w:spacing w:before="0" w:beforeAutospacing="0" w:after="0" w:afterAutospacing="0" w:line="360" w:lineRule="auto"/>
        <w:jc w:val="both"/>
        <w:rPr>
          <w:rFonts w:hint="eastAsia" w:eastAsia="宋体" w:cs="宋体"/>
          <w:b/>
          <w:bCs/>
          <w:color w:val="000000"/>
          <w:kern w:val="2"/>
          <w:highlight w:val="none"/>
        </w:rPr>
      </w:pPr>
      <w:r>
        <w:rPr>
          <w:rFonts w:hint="eastAsia" w:eastAsia="宋体" w:cs="宋体"/>
          <w:b/>
          <w:bCs/>
          <w:color w:val="000000"/>
          <w:kern w:val="2"/>
          <w:highlight w:val="none"/>
          <w:lang w:val="en-US" w:eastAsia="zh-CN"/>
        </w:rPr>
        <w:t>报价</w:t>
      </w:r>
      <w:r>
        <w:rPr>
          <w:rFonts w:hint="eastAsia" w:eastAsia="宋体" w:cs="宋体"/>
          <w:b/>
          <w:bCs/>
          <w:color w:val="000000"/>
          <w:kern w:val="2"/>
          <w:highlight w:val="none"/>
        </w:rPr>
        <w:t>1</w:t>
      </w:r>
      <w:r>
        <w:rPr>
          <w:rFonts w:hint="eastAsia" w:eastAsia="宋体" w:cs="宋体"/>
          <w:b/>
          <w:bCs/>
          <w:color w:val="000000"/>
          <w:kern w:val="2"/>
          <w:highlight w:val="none"/>
          <w:lang w:eastAsia="zh-CN"/>
        </w:rPr>
        <w:t>：</w:t>
      </w:r>
      <w:r>
        <w:rPr>
          <w:rFonts w:hint="eastAsia" w:eastAsia="宋体" w:cs="宋体"/>
          <w:b/>
          <w:bCs/>
          <w:color w:val="000000"/>
          <w:kern w:val="2"/>
          <w:highlight w:val="none"/>
        </w:rPr>
        <w:t>招标代理收费费率得分。（满分10分）</w:t>
      </w:r>
    </w:p>
    <w:p>
      <w:pPr>
        <w:pStyle w:val="14"/>
        <w:widowControl w:val="0"/>
        <w:adjustRightInd w:val="0"/>
        <w:snapToGrid w:val="0"/>
        <w:spacing w:before="0" w:beforeAutospacing="0" w:after="0" w:afterAutospacing="0" w:line="360" w:lineRule="auto"/>
        <w:jc w:val="both"/>
        <w:rPr>
          <w:rFonts w:hint="eastAsia" w:eastAsia="宋体" w:cs="宋体"/>
          <w:color w:val="000000"/>
          <w:kern w:val="2"/>
          <w:highlight w:val="none"/>
        </w:rPr>
      </w:pPr>
      <w:r>
        <w:rPr>
          <w:rFonts w:hint="eastAsia" w:eastAsia="宋体" w:cs="宋体"/>
          <w:color w:val="000000"/>
          <w:kern w:val="2"/>
          <w:highlight w:val="red"/>
        </w:rPr>
        <w:t>投标人该项报价高于计价格[2002]1980号收费标准的</w:t>
      </w:r>
      <w:r>
        <w:rPr>
          <w:rFonts w:hint="eastAsia" w:cs="宋体"/>
          <w:color w:val="000000"/>
          <w:kern w:val="2"/>
          <w:highlight w:val="red"/>
          <w:lang w:val="en-US" w:eastAsia="zh-CN"/>
        </w:rPr>
        <w:t>7</w:t>
      </w:r>
      <w:r>
        <w:rPr>
          <w:rFonts w:hint="eastAsia" w:eastAsia="宋体" w:cs="宋体"/>
          <w:color w:val="000000"/>
          <w:kern w:val="2"/>
          <w:highlight w:val="red"/>
        </w:rPr>
        <w:t>0%的，作为</w:t>
      </w:r>
      <w:r>
        <w:rPr>
          <w:rFonts w:hint="eastAsia" w:eastAsia="宋体" w:cs="宋体"/>
          <w:color w:val="000000"/>
          <w:kern w:val="2"/>
          <w:highlight w:val="red"/>
          <w:lang w:val="en-US" w:eastAsia="zh-CN"/>
        </w:rPr>
        <w:t>无效标处理</w:t>
      </w:r>
      <w:r>
        <w:rPr>
          <w:rFonts w:hint="eastAsia" w:eastAsia="宋体" w:cs="宋体"/>
          <w:color w:val="000000"/>
          <w:kern w:val="2"/>
          <w:highlight w:val="red"/>
        </w:rPr>
        <w:t>。</w:t>
      </w:r>
    </w:p>
    <w:p>
      <w:pPr>
        <w:pStyle w:val="14"/>
        <w:widowControl w:val="0"/>
        <w:adjustRightInd w:val="0"/>
        <w:snapToGrid w:val="0"/>
        <w:spacing w:before="0" w:beforeAutospacing="0" w:after="0" w:afterAutospacing="0" w:line="360" w:lineRule="auto"/>
        <w:jc w:val="both"/>
        <w:rPr>
          <w:rFonts w:hint="eastAsia" w:eastAsia="宋体" w:cs="宋体"/>
          <w:color w:val="000000"/>
          <w:kern w:val="2"/>
          <w:highlight w:val="none"/>
        </w:rPr>
      </w:pPr>
      <w:r>
        <w:rPr>
          <w:rFonts w:hint="eastAsia" w:eastAsia="宋体" w:cs="宋体"/>
          <w:color w:val="000000"/>
          <w:kern w:val="2"/>
          <w:highlight w:val="none"/>
        </w:rPr>
        <w:t>基准折扣为所有有效</w:t>
      </w:r>
      <w:r>
        <w:rPr>
          <w:rFonts w:hint="eastAsia" w:eastAsia="宋体" w:cs="宋体"/>
          <w:color w:val="000000"/>
          <w:kern w:val="2"/>
          <w:highlight w:val="none"/>
          <w:lang w:val="en-US" w:eastAsia="zh-CN"/>
        </w:rPr>
        <w:t>投标人</w:t>
      </w:r>
      <w:r>
        <w:rPr>
          <w:rFonts w:hint="eastAsia" w:eastAsia="宋体" w:cs="宋体"/>
          <w:color w:val="000000"/>
          <w:kern w:val="2"/>
          <w:highlight w:val="none"/>
        </w:rPr>
        <w:t>中报价最低的折扣，各</w:t>
      </w:r>
      <w:r>
        <w:rPr>
          <w:rFonts w:hint="eastAsia" w:eastAsia="宋体" w:cs="宋体"/>
          <w:color w:val="000000"/>
          <w:kern w:val="2"/>
          <w:highlight w:val="none"/>
          <w:lang w:val="en-US" w:eastAsia="zh-CN"/>
        </w:rPr>
        <w:t>投标人</w:t>
      </w:r>
      <w:r>
        <w:rPr>
          <w:rFonts w:hint="eastAsia" w:eastAsia="宋体" w:cs="宋体"/>
          <w:color w:val="000000"/>
          <w:kern w:val="2"/>
          <w:highlight w:val="none"/>
        </w:rPr>
        <w:t>报价得分=(基准折扣／报价折扣)×</w:t>
      </w:r>
      <w:r>
        <w:rPr>
          <w:rFonts w:hint="eastAsia" w:eastAsia="宋体" w:cs="宋体"/>
          <w:color w:val="000000"/>
          <w:kern w:val="2"/>
          <w:highlight w:val="none"/>
          <w:lang w:val="en-US" w:eastAsia="zh-CN"/>
        </w:rPr>
        <w:t>10</w:t>
      </w:r>
      <w:r>
        <w:rPr>
          <w:rFonts w:hint="eastAsia" w:eastAsia="宋体" w:cs="宋体"/>
          <w:color w:val="000000"/>
          <w:kern w:val="2"/>
          <w:highlight w:val="none"/>
        </w:rPr>
        <w:t>，四舍五入，保留两位小数。</w:t>
      </w:r>
    </w:p>
    <w:p>
      <w:pPr>
        <w:pStyle w:val="14"/>
        <w:widowControl w:val="0"/>
        <w:adjustRightInd w:val="0"/>
        <w:snapToGrid w:val="0"/>
        <w:spacing w:before="0" w:beforeAutospacing="0" w:after="0" w:afterAutospacing="0" w:line="360" w:lineRule="auto"/>
        <w:jc w:val="both"/>
        <w:rPr>
          <w:rFonts w:hint="eastAsia" w:eastAsia="宋体" w:cs="宋体"/>
          <w:b/>
          <w:bCs/>
          <w:color w:val="000000"/>
          <w:kern w:val="2"/>
          <w:highlight w:val="none"/>
        </w:rPr>
      </w:pPr>
      <w:r>
        <w:rPr>
          <w:rFonts w:hint="eastAsia" w:eastAsia="宋体" w:cs="宋体"/>
          <w:b/>
          <w:bCs/>
          <w:color w:val="000000"/>
          <w:kern w:val="2"/>
          <w:highlight w:val="none"/>
          <w:lang w:val="en-US" w:eastAsia="zh-CN"/>
        </w:rPr>
        <w:t>报价2：</w:t>
      </w:r>
      <w:r>
        <w:rPr>
          <w:rFonts w:hint="eastAsia" w:eastAsia="宋体" w:cs="宋体"/>
          <w:b/>
          <w:bCs/>
          <w:color w:val="000000"/>
          <w:kern w:val="2"/>
          <w:highlight w:val="none"/>
        </w:rPr>
        <w:t>造价咨询收费费率得分。（满分10分）</w:t>
      </w:r>
    </w:p>
    <w:p>
      <w:pPr>
        <w:pStyle w:val="14"/>
        <w:widowControl w:val="0"/>
        <w:adjustRightInd w:val="0"/>
        <w:snapToGrid w:val="0"/>
        <w:spacing w:before="0" w:beforeAutospacing="0" w:after="0" w:afterAutospacing="0" w:line="360" w:lineRule="auto"/>
        <w:jc w:val="both"/>
        <w:rPr>
          <w:rFonts w:hint="eastAsia" w:eastAsia="宋体" w:cs="宋体"/>
          <w:color w:val="000000"/>
          <w:kern w:val="2"/>
          <w:highlight w:val="none"/>
        </w:rPr>
      </w:pPr>
      <w:r>
        <w:rPr>
          <w:rFonts w:hint="eastAsia" w:eastAsia="宋体" w:cs="宋体"/>
          <w:color w:val="000000"/>
          <w:kern w:val="2"/>
          <w:highlight w:val="red"/>
        </w:rPr>
        <w:t>投标人该项报价高于浙价服[2009]84号收费标准的</w:t>
      </w:r>
      <w:r>
        <w:rPr>
          <w:rFonts w:hint="eastAsia" w:cs="宋体"/>
          <w:color w:val="000000"/>
          <w:kern w:val="2"/>
          <w:highlight w:val="red"/>
          <w:lang w:val="en-US" w:eastAsia="zh-CN"/>
        </w:rPr>
        <w:t>7</w:t>
      </w:r>
      <w:r>
        <w:rPr>
          <w:rFonts w:hint="eastAsia" w:eastAsia="宋体" w:cs="宋体"/>
          <w:color w:val="000000"/>
          <w:kern w:val="2"/>
          <w:highlight w:val="red"/>
        </w:rPr>
        <w:t>0%的，作</w:t>
      </w:r>
      <w:r>
        <w:rPr>
          <w:rFonts w:hint="eastAsia" w:eastAsia="宋体" w:cs="宋体"/>
          <w:color w:val="000000"/>
          <w:kern w:val="2"/>
          <w:highlight w:val="red"/>
          <w:lang w:val="en-US" w:eastAsia="zh-CN"/>
        </w:rPr>
        <w:t>无效标处理</w:t>
      </w:r>
      <w:r>
        <w:rPr>
          <w:rFonts w:hint="eastAsia" w:eastAsia="宋体" w:cs="宋体"/>
          <w:color w:val="000000"/>
          <w:kern w:val="2"/>
          <w:highlight w:val="red"/>
        </w:rPr>
        <w:t>。</w:t>
      </w:r>
    </w:p>
    <w:p>
      <w:pPr>
        <w:pStyle w:val="14"/>
        <w:widowControl w:val="0"/>
        <w:adjustRightInd w:val="0"/>
        <w:snapToGrid w:val="0"/>
        <w:spacing w:before="0" w:beforeAutospacing="0" w:after="0" w:afterAutospacing="0" w:line="360" w:lineRule="auto"/>
        <w:jc w:val="both"/>
        <w:rPr>
          <w:rFonts w:hint="eastAsia" w:eastAsia="宋体" w:cs="宋体"/>
          <w:color w:val="000000"/>
          <w:kern w:val="2"/>
          <w:highlight w:val="none"/>
        </w:rPr>
      </w:pPr>
      <w:r>
        <w:rPr>
          <w:rFonts w:hint="eastAsia" w:eastAsia="宋体" w:cs="宋体"/>
          <w:color w:val="000000"/>
          <w:kern w:val="2"/>
          <w:highlight w:val="none"/>
        </w:rPr>
        <w:t>基准折扣为所有有效</w:t>
      </w:r>
      <w:r>
        <w:rPr>
          <w:rFonts w:hint="eastAsia" w:eastAsia="宋体" w:cs="宋体"/>
          <w:color w:val="000000"/>
          <w:kern w:val="2"/>
          <w:highlight w:val="none"/>
          <w:lang w:val="en-US" w:eastAsia="zh-CN"/>
        </w:rPr>
        <w:t>投标人</w:t>
      </w:r>
      <w:r>
        <w:rPr>
          <w:rFonts w:hint="eastAsia" w:eastAsia="宋体" w:cs="宋体"/>
          <w:color w:val="000000"/>
          <w:kern w:val="2"/>
          <w:highlight w:val="none"/>
        </w:rPr>
        <w:t>中报价最低的折扣，各</w:t>
      </w:r>
      <w:r>
        <w:rPr>
          <w:rFonts w:hint="eastAsia" w:eastAsia="宋体" w:cs="宋体"/>
          <w:color w:val="000000"/>
          <w:kern w:val="2"/>
          <w:highlight w:val="none"/>
          <w:lang w:val="en-US" w:eastAsia="zh-CN"/>
        </w:rPr>
        <w:t>投标人</w:t>
      </w:r>
      <w:r>
        <w:rPr>
          <w:rFonts w:hint="eastAsia" w:eastAsia="宋体" w:cs="宋体"/>
          <w:color w:val="000000"/>
          <w:kern w:val="2"/>
          <w:highlight w:val="none"/>
        </w:rPr>
        <w:t>报价得分=(基准折扣／报价折扣)×</w:t>
      </w:r>
      <w:r>
        <w:rPr>
          <w:rFonts w:hint="eastAsia" w:eastAsia="宋体" w:cs="宋体"/>
          <w:color w:val="000000"/>
          <w:kern w:val="2"/>
          <w:highlight w:val="none"/>
          <w:lang w:val="en-US" w:eastAsia="zh-CN"/>
        </w:rPr>
        <w:t>10</w:t>
      </w:r>
      <w:r>
        <w:rPr>
          <w:rFonts w:hint="eastAsia" w:eastAsia="宋体" w:cs="宋体"/>
          <w:color w:val="000000"/>
          <w:kern w:val="2"/>
          <w:highlight w:val="none"/>
        </w:rPr>
        <w:t>，四舍五入，保留两位小数。</w:t>
      </w:r>
    </w:p>
    <w:p>
      <w:pPr>
        <w:pStyle w:val="14"/>
        <w:widowControl w:val="0"/>
        <w:adjustRightInd w:val="0"/>
        <w:snapToGrid w:val="0"/>
        <w:spacing w:before="0" w:beforeAutospacing="0" w:after="0" w:afterAutospacing="0" w:line="360" w:lineRule="auto"/>
        <w:jc w:val="both"/>
        <w:rPr>
          <w:rFonts w:hint="eastAsia" w:eastAsia="宋体" w:cs="宋体"/>
          <w:b/>
          <w:bCs/>
          <w:color w:val="000000"/>
          <w:kern w:val="2"/>
          <w:highlight w:val="none"/>
          <w:lang w:val="en-US" w:eastAsia="zh-CN"/>
        </w:rPr>
      </w:pPr>
      <w:r>
        <w:rPr>
          <w:rFonts w:hint="eastAsia" w:eastAsia="宋体" w:cs="宋体"/>
          <w:b/>
          <w:bCs/>
          <w:color w:val="000000"/>
          <w:kern w:val="2"/>
          <w:highlight w:val="none"/>
          <w:lang w:val="en-US" w:eastAsia="zh-CN"/>
        </w:rPr>
        <w:t>报价得分=报价1得分+报价2得分</w:t>
      </w:r>
    </w:p>
    <w:p>
      <w:pPr>
        <w:pStyle w:val="24"/>
        <w:numPr>
          <w:ilvl w:val="0"/>
          <w:numId w:val="23"/>
        </w:numPr>
        <w:tabs>
          <w:tab w:val="left" w:pos="284"/>
        </w:tabs>
        <w:snapToGrid w:val="0"/>
        <w:spacing w:before="120" w:after="120" w:line="360" w:lineRule="auto"/>
        <w:ind w:left="567" w:hanging="567" w:firstLineChars="0"/>
        <w:rPr>
          <w:rFonts w:hint="eastAsia" w:cs="宋体"/>
          <w:b/>
          <w:bCs/>
          <w:color w:val="000000"/>
          <w:highlight w:val="none"/>
        </w:rPr>
      </w:pPr>
      <w:r>
        <w:rPr>
          <w:rFonts w:hint="eastAsia" w:cs="宋体"/>
          <w:b/>
          <w:bCs/>
          <w:color w:val="000000"/>
          <w:highlight w:val="none"/>
        </w:rPr>
        <w:t>商务技术部分评分（8</w:t>
      </w:r>
      <w:r>
        <w:rPr>
          <w:rFonts w:hint="eastAsia" w:cs="宋体"/>
          <w:b/>
          <w:bCs/>
          <w:color w:val="000000"/>
          <w:highlight w:val="none"/>
          <w:lang w:val="en-US" w:eastAsia="zh-CN"/>
        </w:rPr>
        <w:t>0</w:t>
      </w:r>
      <w:r>
        <w:rPr>
          <w:rFonts w:hint="eastAsia" w:cs="宋体"/>
          <w:b/>
          <w:bCs/>
          <w:color w:val="000000"/>
          <w:highlight w:val="none"/>
        </w:rPr>
        <w:t>分）</w:t>
      </w:r>
    </w:p>
    <w:tbl>
      <w:tblPr>
        <w:tblStyle w:val="15"/>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95"/>
        <w:gridCol w:w="5489"/>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序号</w:t>
            </w:r>
          </w:p>
        </w:tc>
        <w:tc>
          <w:tcPr>
            <w:tcW w:w="1495"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评审项目</w:t>
            </w: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评审标准</w:t>
            </w:r>
          </w:p>
        </w:tc>
        <w:tc>
          <w:tcPr>
            <w:tcW w:w="771" w:type="dxa"/>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495"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医院项目招标代理服务业绩</w:t>
            </w:r>
          </w:p>
        </w:tc>
        <w:tc>
          <w:tcPr>
            <w:tcW w:w="5489" w:type="dxa"/>
            <w:noWrap w:val="0"/>
            <w:vAlign w:val="center"/>
          </w:tcPr>
          <w:p>
            <w:pPr>
              <w:widowControl/>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投标人</w:t>
            </w:r>
            <w:r>
              <w:rPr>
                <w:rFonts w:hint="eastAsia" w:ascii="宋体" w:hAnsi="宋体" w:eastAsia="宋体" w:cs="宋体"/>
                <w:color w:val="000000"/>
                <w:kern w:val="0"/>
                <w:sz w:val="24"/>
                <w:highlight w:val="none"/>
              </w:rPr>
              <w:t>2021年至今医院工程招标代理业绩：</w:t>
            </w:r>
          </w:p>
          <w:p>
            <w:pPr>
              <w:widowControl/>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每提供1个医院工程招标代理得</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rPr>
              <w:t>分，最高得</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分，每1个业绩须提供采购结果公告</w:t>
            </w:r>
            <w:r>
              <w:rPr>
                <w:rFonts w:hint="eastAsia" w:ascii="宋体" w:hAnsi="宋体" w:eastAsia="宋体" w:cs="宋体"/>
                <w:color w:val="000000"/>
                <w:kern w:val="0"/>
                <w:sz w:val="24"/>
                <w:highlight w:val="none"/>
                <w:lang w:val="en-US" w:eastAsia="zh-CN"/>
              </w:rPr>
              <w:t>或招标代理协议复印件</w:t>
            </w:r>
            <w:r>
              <w:rPr>
                <w:rFonts w:hint="eastAsia" w:ascii="宋体" w:hAnsi="宋体" w:eastAsia="宋体" w:cs="宋体"/>
                <w:color w:val="000000"/>
                <w:kern w:val="0"/>
                <w:sz w:val="24"/>
                <w:highlight w:val="none"/>
              </w:rPr>
              <w:t>作为证明资料，否则不得分。同一医院业绩不重复得分。</w:t>
            </w: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noWrap w:val="0"/>
            <w:vAlign w:val="center"/>
          </w:tcPr>
          <w:p>
            <w:pPr>
              <w:widowControl/>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w:t>
            </w:r>
          </w:p>
        </w:tc>
        <w:tc>
          <w:tcPr>
            <w:tcW w:w="1495"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工程进场</w:t>
            </w:r>
            <w:r>
              <w:rPr>
                <w:rFonts w:hint="eastAsia" w:ascii="宋体" w:hAnsi="宋体" w:cs="宋体"/>
                <w:color w:val="000000"/>
                <w:kern w:val="0"/>
                <w:sz w:val="24"/>
                <w:highlight w:val="none"/>
              </w:rPr>
              <w:t>招标代理服务业绩</w:t>
            </w:r>
          </w:p>
        </w:tc>
        <w:tc>
          <w:tcPr>
            <w:tcW w:w="5489" w:type="dxa"/>
            <w:noWrap w:val="0"/>
            <w:vAlign w:val="center"/>
          </w:tcPr>
          <w:p>
            <w:pPr>
              <w:widowControl/>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投标人具有工程项目进场交易招标代理业绩的，每有一个业绩得1分，最高得5分。</w:t>
            </w:r>
          </w:p>
          <w:p>
            <w:pPr>
              <w:widowControl/>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注：需提供所代理</w:t>
            </w:r>
            <w:r>
              <w:rPr>
                <w:rFonts w:hint="eastAsia" w:ascii="宋体" w:hAnsi="宋体" w:eastAsia="宋体" w:cs="宋体"/>
                <w:color w:val="000000"/>
                <w:kern w:val="0"/>
                <w:sz w:val="24"/>
                <w:highlight w:val="none"/>
                <w:lang w:val="en-US" w:eastAsia="zh-CN"/>
              </w:rPr>
              <w:t>项目的交易中心网站发布的招标公告（或</w:t>
            </w:r>
            <w:r>
              <w:rPr>
                <w:rFonts w:hint="eastAsia" w:ascii="宋体" w:hAnsi="宋体" w:eastAsia="宋体" w:cs="宋体"/>
                <w:color w:val="000000"/>
                <w:kern w:val="0"/>
                <w:sz w:val="24"/>
                <w:highlight w:val="none"/>
                <w:lang w:eastAsia="zh-CN"/>
              </w:rPr>
              <w:t>招标项目经招投标监管部门备案的证明材料</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lang w:eastAsia="zh-CN"/>
              </w:rPr>
              <w:t>和招标代理合同复印件扫描件并加盖公章。未提供证明材料或所提供的材料不能明确体现评分要求的不得分。</w:t>
            </w:r>
          </w:p>
        </w:tc>
        <w:tc>
          <w:tcPr>
            <w:tcW w:w="771" w:type="dxa"/>
            <w:noWrap/>
            <w:vAlign w:val="center"/>
          </w:tcPr>
          <w:p>
            <w:pPr>
              <w:widowControl/>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restart"/>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1495" w:type="dxa"/>
            <w:vMerge w:val="restart"/>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针对本项目制定的招标代理实施方案</w:t>
            </w:r>
          </w:p>
        </w:tc>
        <w:tc>
          <w:tcPr>
            <w:tcW w:w="5489" w:type="dxa"/>
            <w:noWrap w:val="0"/>
            <w:vAlign w:val="center"/>
          </w:tcPr>
          <w:p>
            <w:pPr>
              <w:widowControl/>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招标代理服务方案全面性、合理性；</w:t>
            </w:r>
            <w:r>
              <w:rPr>
                <w:rFonts w:hint="eastAsia" w:ascii="宋体" w:hAnsi="宋体" w:cs="宋体"/>
                <w:color w:val="000000"/>
                <w:kern w:val="0"/>
                <w:sz w:val="24"/>
                <w:highlight w:val="none"/>
                <w:lang w:val="en-US" w:eastAsia="zh-CN"/>
              </w:rPr>
              <w:t>0-6分</w:t>
            </w:r>
          </w:p>
        </w:tc>
        <w:tc>
          <w:tcPr>
            <w:tcW w:w="771" w:type="dxa"/>
            <w:noWrap/>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招标文件质量控制目标是否清晰，控制手段和措施是否科学、可靠；</w:t>
            </w:r>
            <w:r>
              <w:rPr>
                <w:rFonts w:hint="eastAsia" w:ascii="宋体" w:hAnsi="宋体" w:cs="宋体"/>
                <w:color w:val="000000"/>
                <w:kern w:val="0"/>
                <w:sz w:val="24"/>
                <w:highlight w:val="none"/>
                <w:lang w:val="en-US" w:eastAsia="zh-CN"/>
              </w:rPr>
              <w:t>0-6分</w:t>
            </w:r>
          </w:p>
        </w:tc>
        <w:tc>
          <w:tcPr>
            <w:tcW w:w="771" w:type="dxa"/>
            <w:noWrap/>
            <w:vAlign w:val="center"/>
          </w:tcPr>
          <w:p>
            <w:pPr>
              <w:widowControl/>
              <w:jc w:val="center"/>
              <w:rPr>
                <w:rFonts w:hint="eastAsia" w:ascii="宋体" w:hAnsi="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工程量清单及招标控制价的质量控制</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目标</w:t>
            </w:r>
            <w:r>
              <w:rPr>
                <w:rFonts w:hint="eastAsia" w:ascii="宋体" w:hAnsi="宋体" w:eastAsia="宋体" w:cs="宋体"/>
                <w:color w:val="000000"/>
                <w:kern w:val="0"/>
                <w:sz w:val="24"/>
                <w:highlight w:val="none"/>
                <w:lang w:val="en-US" w:eastAsia="zh-CN"/>
              </w:rPr>
              <w:t>误差率控制措施、技术复核与管理措施</w:t>
            </w:r>
            <w:r>
              <w:rPr>
                <w:rFonts w:hint="eastAsia" w:ascii="宋体" w:hAnsi="宋体" w:eastAsia="宋体" w:cs="宋体"/>
                <w:color w:val="000000"/>
                <w:kern w:val="0"/>
                <w:sz w:val="24"/>
                <w:highlight w:val="none"/>
              </w:rPr>
              <w:t>是否科学、可靠；</w:t>
            </w:r>
            <w:r>
              <w:rPr>
                <w:rFonts w:hint="eastAsia" w:ascii="宋体" w:hAnsi="宋体" w:cs="宋体"/>
                <w:color w:val="000000"/>
                <w:kern w:val="0"/>
                <w:sz w:val="24"/>
                <w:highlight w:val="none"/>
                <w:lang w:val="en-US" w:eastAsia="zh-CN"/>
              </w:rPr>
              <w:t>0-6分</w:t>
            </w:r>
          </w:p>
        </w:tc>
        <w:tc>
          <w:tcPr>
            <w:tcW w:w="771" w:type="dxa"/>
            <w:noWrap/>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招标代理人员的廉洁措施是否可行、处罚承诺是否明确；</w:t>
            </w:r>
            <w:r>
              <w:rPr>
                <w:rFonts w:hint="eastAsia" w:ascii="宋体" w:hAnsi="宋体" w:cs="宋体"/>
                <w:color w:val="000000"/>
                <w:kern w:val="0"/>
                <w:sz w:val="24"/>
                <w:highlight w:val="none"/>
                <w:lang w:val="en-US" w:eastAsia="zh-CN"/>
              </w:rPr>
              <w:t>0-5分</w:t>
            </w:r>
          </w:p>
        </w:tc>
        <w:tc>
          <w:tcPr>
            <w:tcW w:w="771" w:type="dxa"/>
            <w:noWrap/>
            <w:vAlign w:val="center"/>
          </w:tcPr>
          <w:p>
            <w:pPr>
              <w:widowControl/>
              <w:jc w:val="center"/>
              <w:rPr>
                <w:rFonts w:hint="eastAsia" w:ascii="宋体" w:hAnsi="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评审现场组织及投诉、质疑等事件中的及时、有效处理能力及措施；</w:t>
            </w:r>
            <w:r>
              <w:rPr>
                <w:rFonts w:hint="eastAsia" w:ascii="宋体" w:hAnsi="宋体" w:cs="宋体"/>
                <w:color w:val="000000"/>
                <w:kern w:val="0"/>
                <w:sz w:val="24"/>
                <w:highlight w:val="none"/>
                <w:lang w:val="en-US" w:eastAsia="zh-CN"/>
              </w:rPr>
              <w:t>0-5分</w:t>
            </w:r>
          </w:p>
        </w:tc>
        <w:tc>
          <w:tcPr>
            <w:tcW w:w="771" w:type="dxa"/>
            <w:noWrap/>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对医院建设项目的理解，以及医院项目难点、重点分析，相应的方案措施是否合理及具有针对性；</w:t>
            </w:r>
            <w:r>
              <w:rPr>
                <w:rFonts w:hint="eastAsia" w:ascii="宋体" w:hAnsi="宋体" w:cs="宋体"/>
                <w:color w:val="000000"/>
                <w:kern w:val="0"/>
                <w:sz w:val="24"/>
                <w:highlight w:val="none"/>
                <w:lang w:val="en-US" w:eastAsia="zh-CN"/>
              </w:rPr>
              <w:t>0-6分</w:t>
            </w:r>
          </w:p>
        </w:tc>
        <w:tc>
          <w:tcPr>
            <w:tcW w:w="771" w:type="dxa"/>
            <w:noWrap/>
            <w:vAlign w:val="center"/>
          </w:tcPr>
          <w:p>
            <w:pPr>
              <w:widowControl/>
              <w:jc w:val="center"/>
              <w:rPr>
                <w:rFonts w:hint="eastAsia" w:ascii="宋体" w:hAnsi="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restart"/>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1495" w:type="dxa"/>
            <w:vMerge w:val="restart"/>
            <w:noWrap w:val="0"/>
            <w:vAlign w:val="center"/>
          </w:tcPr>
          <w:p>
            <w:pPr>
              <w:rPr>
                <w:rFonts w:hint="eastAsia" w:ascii="宋体" w:hAnsi="宋体" w:cs="宋体"/>
                <w:color w:val="000000"/>
                <w:sz w:val="24"/>
                <w:highlight w:val="none"/>
              </w:rPr>
            </w:pPr>
            <w:r>
              <w:rPr>
                <w:rFonts w:hint="eastAsia" w:ascii="宋体" w:hAnsi="宋体" w:cs="宋体"/>
                <w:color w:val="000000"/>
                <w:kern w:val="0"/>
                <w:sz w:val="24"/>
                <w:highlight w:val="none"/>
              </w:rPr>
              <w:t>项目组人员组成和分工</w:t>
            </w:r>
          </w:p>
        </w:tc>
        <w:tc>
          <w:tcPr>
            <w:tcW w:w="5489" w:type="dxa"/>
            <w:noWrap w:val="0"/>
            <w:vAlign w:val="center"/>
          </w:tcPr>
          <w:p>
            <w:pPr>
              <w:widowControl/>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拟派项目团队中招标代理团队负责人具有高级职称的得2分，具有中级职称的得1分，最多得2分</w:t>
            </w:r>
          </w:p>
          <w:p>
            <w:pPr>
              <w:widowControl/>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注：需提供人员简历、社保证明、证书等相关证明材料，所有资料均需复印件加盖公章。</w:t>
            </w:r>
          </w:p>
        </w:tc>
        <w:tc>
          <w:tcPr>
            <w:tcW w:w="771" w:type="dxa"/>
            <w:noWrap/>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招标代理团队负责人具有工程进场招标代理经验的，每个业绩得0.5分，最多得2分，提供招标代理委托协议复印件和招标公告网页截图，委托代理协议或招标公告网页显示的项目联系人与本项目负责人须一致，否则不得分。</w:t>
            </w:r>
          </w:p>
        </w:tc>
        <w:tc>
          <w:tcPr>
            <w:tcW w:w="771" w:type="dxa"/>
            <w:noWrap/>
            <w:vAlign w:val="center"/>
          </w:tcPr>
          <w:p>
            <w:pPr>
              <w:widowControl/>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根据拟派项目团队中招标代理人员（负责人除外）的职称、从业年限等情况评分。</w:t>
            </w:r>
          </w:p>
          <w:p>
            <w:pPr>
              <w:widowControl/>
              <w:rPr>
                <w:rFonts w:hint="default" w:ascii="宋体" w:hAnsi="宋体" w:eastAsia="宋体" w:cs="宋体"/>
                <w:color w:val="000000"/>
                <w:kern w:val="0"/>
                <w:sz w:val="24"/>
                <w:highlight w:val="none"/>
                <w:lang w:val="en-US"/>
              </w:rPr>
            </w:pPr>
            <w:r>
              <w:rPr>
                <w:rFonts w:hint="eastAsia" w:ascii="宋体" w:hAnsi="宋体" w:eastAsia="宋体" w:cs="宋体"/>
                <w:color w:val="000000"/>
                <w:kern w:val="0"/>
                <w:sz w:val="24"/>
                <w:highlight w:val="none"/>
                <w:lang w:val="en-US" w:eastAsia="zh-CN"/>
              </w:rPr>
              <w:t>注：需提供人员简历、社保证明、证书等相关证明材料，所有资料均需复印件加盖公章。0-5分</w:t>
            </w:r>
          </w:p>
        </w:tc>
        <w:tc>
          <w:tcPr>
            <w:tcW w:w="771" w:type="dxa"/>
            <w:noWrap/>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rPr>
                <w:rFonts w:hint="eastAsia" w:ascii="宋体" w:hAnsi="宋体" w:cs="宋体"/>
                <w:color w:val="000000"/>
                <w:kern w:val="0"/>
                <w:sz w:val="24"/>
                <w:highlight w:val="none"/>
              </w:rPr>
            </w:pPr>
          </w:p>
        </w:tc>
        <w:tc>
          <w:tcPr>
            <w:tcW w:w="5489" w:type="dxa"/>
            <w:noWrap w:val="0"/>
            <w:vAlign w:val="center"/>
          </w:tcPr>
          <w:p>
            <w:pPr>
              <w:widowControl/>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根据拟派项目团队中工程量清单编制人员的专业配置及相关经验。注：需提供人员简历、社保证明、证书等相关证明材料，所有资料均需复印件加盖公章。0-5分</w:t>
            </w:r>
          </w:p>
        </w:tc>
        <w:tc>
          <w:tcPr>
            <w:tcW w:w="771" w:type="dxa"/>
            <w:noWrap/>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szCs w:val="24"/>
                <w:highlight w:val="none"/>
                <w:lang w:val="en-US" w:eastAsia="zh-CN" w:bidi="ar-SA"/>
              </w:rPr>
            </w:pPr>
            <w:r>
              <w:rPr>
                <w:rFonts w:hint="eastAsia" w:ascii="宋体" w:hAnsi="宋体" w:cs="宋体"/>
                <w:color w:val="000000"/>
                <w:kern w:val="0"/>
                <w:sz w:val="24"/>
                <w:highlight w:val="none"/>
              </w:rPr>
              <w:t>拟派项目组成员配备的合理性、项目经验及能力；</w:t>
            </w:r>
            <w:r>
              <w:rPr>
                <w:rFonts w:hint="eastAsia" w:ascii="宋体" w:hAnsi="宋体" w:cs="宋体"/>
                <w:color w:val="000000"/>
                <w:kern w:val="0"/>
                <w:sz w:val="24"/>
                <w:highlight w:val="none"/>
                <w:lang w:val="en-US" w:eastAsia="zh-CN"/>
              </w:rPr>
              <w:t>0-5分</w:t>
            </w:r>
          </w:p>
        </w:tc>
        <w:tc>
          <w:tcPr>
            <w:tcW w:w="771" w:type="dxa"/>
            <w:noWrap/>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项目小组成员分工的合理性、职责明确性；</w:t>
            </w:r>
            <w:r>
              <w:rPr>
                <w:rFonts w:hint="eastAsia" w:ascii="宋体" w:hAnsi="宋体" w:cs="宋体"/>
                <w:color w:val="000000"/>
                <w:kern w:val="0"/>
                <w:sz w:val="24"/>
                <w:highlight w:val="none"/>
                <w:lang w:val="en-US" w:eastAsia="zh-CN"/>
              </w:rPr>
              <w:t>0-5分</w:t>
            </w:r>
          </w:p>
        </w:tc>
        <w:tc>
          <w:tcPr>
            <w:tcW w:w="771" w:type="dxa"/>
            <w:noWrap/>
            <w:vAlign w:val="center"/>
          </w:tcPr>
          <w:p>
            <w:pPr>
              <w:widowControl/>
              <w:jc w:val="center"/>
              <w:rPr>
                <w:rFonts w:hint="eastAsia" w:ascii="宋体" w:hAnsi="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restart"/>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c>
          <w:tcPr>
            <w:tcW w:w="1495" w:type="dxa"/>
            <w:vMerge w:val="restart"/>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招标代理机构的内控机制</w:t>
            </w: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提供质量管理体系ISO9001证书复印件，得</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分，否则不得分。</w:t>
            </w: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同时提供完善招标代理机构的政府采购、建设工程招投标内部管理控制制度的得0-</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分，未提供不得分。</w:t>
            </w: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1495"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特色服务和承诺</w:t>
            </w: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根据代理机构为本项目提供的增值特色服务给0-</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分</w:t>
            </w: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r>
    </w:tbl>
    <w:p>
      <w:pPr>
        <w:rPr>
          <w:rFonts w:hint="default" w:eastAsia="宋体" w:cs="宋体"/>
          <w:b/>
          <w:bCs/>
          <w:color w:val="000000"/>
          <w:kern w:val="2"/>
          <w:highlight w:val="none"/>
          <w:lang w:val="en-US" w:eastAsia="zh-CN"/>
        </w:rPr>
      </w:pPr>
      <w:r>
        <w:rPr>
          <w:rFonts w:hint="default" w:eastAsia="宋体" w:cs="宋体"/>
          <w:b/>
          <w:bCs/>
          <w:color w:val="000000"/>
          <w:kern w:val="2"/>
          <w:highlight w:val="none"/>
          <w:lang w:val="en-US" w:eastAsia="zh-CN"/>
        </w:rPr>
        <w:br w:type="page"/>
      </w: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spacing w:line="360" w:lineRule="auto"/>
        <w:ind w:firstLine="482" w:firstLineChars="200"/>
        <w:rPr>
          <w:rFonts w:hint="eastAsia"/>
          <w:b/>
          <w:bCs/>
          <w:color w:val="000000"/>
          <w:sz w:val="24"/>
          <w:highlight w:val="none"/>
        </w:rPr>
      </w:pPr>
      <w:r>
        <w:rPr>
          <w:rFonts w:hint="eastAsia"/>
          <w:b/>
          <w:bCs/>
          <w:color w:val="000000"/>
          <w:sz w:val="24"/>
          <w:highlight w:val="none"/>
        </w:rPr>
        <w:t>一、服务范围及期限</w:t>
      </w:r>
    </w:p>
    <w:p>
      <w:pPr>
        <w:spacing w:line="480" w:lineRule="exact"/>
        <w:ind w:firstLine="480" w:firstLineChars="200"/>
        <w:outlineLvl w:val="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招标代理服务范围：202</w:t>
      </w:r>
      <w:r>
        <w:rPr>
          <w:rFonts w:hint="eastAsia" w:asciiTheme="minorEastAsia" w:hAnsiTheme="minorEastAsia" w:eastAsiaTheme="minorEastAsia" w:cstheme="minorEastAsia"/>
          <w:sz w:val="24"/>
          <w:szCs w:val="20"/>
          <w:lang w:val="en-US" w:eastAsia="zh-CN"/>
        </w:rPr>
        <w:t>3-2024</w:t>
      </w:r>
      <w:r>
        <w:rPr>
          <w:rFonts w:hint="eastAsia" w:asciiTheme="minorEastAsia" w:hAnsiTheme="minorEastAsia" w:eastAsiaTheme="minorEastAsia" w:cstheme="minorEastAsia"/>
          <w:sz w:val="24"/>
          <w:szCs w:val="20"/>
        </w:rPr>
        <w:t>年度嘉兴市第一医院（不含二期工程建设项目）建设工程涉及需要招标项目的招标代理服务，包括工程类、服务类及货物类的招标代理（含工程量清单及招标控制价编制等）服务。</w:t>
      </w:r>
    </w:p>
    <w:p>
      <w:pPr>
        <w:widowControl/>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szCs w:val="20"/>
        </w:rPr>
        <w:t>造价咨询服务范围：202</w:t>
      </w:r>
      <w:r>
        <w:rPr>
          <w:rFonts w:hint="eastAsia" w:asciiTheme="minorEastAsia" w:hAnsiTheme="minorEastAsia" w:eastAsiaTheme="minorEastAsia" w:cstheme="minorEastAsia"/>
          <w:sz w:val="24"/>
          <w:szCs w:val="20"/>
          <w:lang w:val="en-US" w:eastAsia="zh-CN"/>
        </w:rPr>
        <w:t>3-2024</w:t>
      </w:r>
      <w:r>
        <w:rPr>
          <w:rFonts w:hint="eastAsia" w:asciiTheme="minorEastAsia" w:hAnsiTheme="minorEastAsia" w:eastAsiaTheme="minorEastAsia" w:cstheme="minorEastAsia"/>
          <w:sz w:val="24"/>
          <w:szCs w:val="20"/>
        </w:rPr>
        <w:t>年度嘉兴市第一医院（不含二期工程建设项目）建设工程预算编制、预算审核、全过程跟踪审计、工程结算审核等工程造价咨询服务。</w:t>
      </w:r>
    </w:p>
    <w:p>
      <w:pPr>
        <w:spacing w:line="360" w:lineRule="auto"/>
        <w:ind w:firstLine="480" w:firstLineChars="20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rPr>
        <w:t>本次招标选择</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家招标代理机构。期限从合同签订生效之日起</w:t>
      </w:r>
      <w:r>
        <w:rPr>
          <w:rFonts w:hint="eastAsia" w:asciiTheme="minorEastAsia" w:hAnsiTheme="minorEastAsia" w:eastAsiaTheme="minorEastAsia" w:cstheme="minorEastAsia"/>
          <w:color w:val="000000"/>
          <w:sz w:val="24"/>
          <w:highlight w:val="none"/>
          <w:lang w:val="en-US" w:eastAsia="zh-CN"/>
        </w:rPr>
        <w:t>2年</w:t>
      </w:r>
      <w:r>
        <w:rPr>
          <w:rFonts w:hint="eastAsia" w:asciiTheme="minorEastAsia" w:hAnsiTheme="minorEastAsia" w:eastAsiaTheme="minorEastAsia" w:cstheme="minorEastAsia"/>
          <w:color w:val="000000"/>
          <w:sz w:val="24"/>
          <w:highlight w:val="none"/>
        </w:rPr>
        <w:t>。合同期内，院方保留终止合同重新招标的权利。</w:t>
      </w:r>
      <w:r>
        <w:rPr>
          <w:rFonts w:hint="eastAsia" w:asciiTheme="minorEastAsia" w:hAnsiTheme="minorEastAsia" w:eastAsiaTheme="minorEastAsia" w:cstheme="minorEastAsia"/>
          <w:color w:val="000000"/>
          <w:sz w:val="24"/>
          <w:highlight w:val="none"/>
          <w:lang w:val="en-US" w:eastAsia="zh-CN"/>
        </w:rPr>
        <w:t>服务期满医院满意可续签一年。</w:t>
      </w:r>
    </w:p>
    <w:p>
      <w:pPr>
        <w:spacing w:line="360" w:lineRule="auto"/>
        <w:ind w:firstLine="480" w:firstLineChars="200"/>
        <w:rPr>
          <w:color w:val="000000"/>
          <w:sz w:val="24"/>
          <w:highlight w:val="none"/>
        </w:rPr>
      </w:pPr>
      <w:r>
        <w:rPr>
          <w:rFonts w:hint="eastAsia" w:asciiTheme="minorEastAsia" w:hAnsiTheme="minorEastAsia" w:eastAsiaTheme="minorEastAsia" w:cstheme="minorEastAsia"/>
          <w:color w:val="000000"/>
          <w:sz w:val="24"/>
          <w:highlight w:val="none"/>
        </w:rPr>
        <w:t>本文件仅适用于本次所叙述</w:t>
      </w:r>
      <w:r>
        <w:rPr>
          <w:rFonts w:hint="eastAsia" w:asciiTheme="minorEastAsia" w:hAnsiTheme="minorEastAsia" w:eastAsiaTheme="minorEastAsia" w:cstheme="minorEastAsia"/>
          <w:sz w:val="24"/>
          <w:lang w:eastAsia="zh-CN"/>
        </w:rPr>
        <w:t>零星工程招标代理及造价咨询服务</w:t>
      </w:r>
      <w:r>
        <w:rPr>
          <w:rFonts w:hint="eastAsia" w:asciiTheme="minorEastAsia" w:hAnsiTheme="minorEastAsia" w:eastAsiaTheme="minorEastAsia" w:cstheme="minorEastAsia"/>
          <w:color w:val="000000"/>
          <w:sz w:val="24"/>
          <w:highlight w:val="none"/>
        </w:rPr>
        <w:t>的采购。</w:t>
      </w:r>
    </w:p>
    <w:p>
      <w:pPr>
        <w:numPr>
          <w:ilvl w:val="0"/>
          <w:numId w:val="24"/>
        </w:numPr>
        <w:spacing w:line="360" w:lineRule="auto"/>
        <w:ind w:firstLine="482" w:firstLineChars="200"/>
        <w:rPr>
          <w:rFonts w:hint="eastAsia"/>
          <w:b/>
          <w:bCs/>
          <w:color w:val="000000"/>
          <w:sz w:val="24"/>
          <w:highlight w:val="none"/>
        </w:rPr>
      </w:pPr>
      <w:r>
        <w:rPr>
          <w:rFonts w:hint="eastAsia"/>
          <w:b/>
          <w:bCs/>
          <w:color w:val="000000"/>
          <w:sz w:val="24"/>
          <w:highlight w:val="none"/>
        </w:rPr>
        <w:t>报价要求</w:t>
      </w:r>
    </w:p>
    <w:p>
      <w:pPr>
        <w:spacing w:line="360" w:lineRule="auto"/>
        <w:ind w:firstLine="480" w:firstLineChars="200"/>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color w:val="000000"/>
          <w:sz w:val="24"/>
          <w:highlight w:val="none"/>
        </w:rPr>
        <w:t>各供应商拟采取的竞争措施和提供给采购人的优惠条件，应在响应文件中综合说明，并纳入报价。</w:t>
      </w:r>
    </w:p>
    <w:p>
      <w:pPr>
        <w:spacing w:line="360" w:lineRule="auto"/>
        <w:ind w:firstLine="482" w:firstLineChars="200"/>
        <w:rPr>
          <w:rFonts w:hint="eastAsia" w:asciiTheme="minorEastAsia" w:hAnsiTheme="minorEastAsia" w:eastAsiaTheme="minorEastAsia" w:cstheme="minorEastAsia"/>
          <w:b/>
          <w:bCs/>
          <w:color w:val="000000"/>
          <w:sz w:val="24"/>
          <w:highlight w:val="yellow"/>
          <w:lang w:eastAsia="zh-CN"/>
        </w:rPr>
      </w:pPr>
      <w:r>
        <w:rPr>
          <w:rFonts w:hint="eastAsia" w:asciiTheme="minorEastAsia" w:hAnsiTheme="minorEastAsia" w:eastAsiaTheme="minorEastAsia" w:cstheme="minorEastAsia"/>
          <w:b/>
          <w:bCs/>
          <w:color w:val="000000"/>
          <w:sz w:val="24"/>
          <w:highlight w:val="none"/>
        </w:rPr>
        <w:t>▲</w:t>
      </w:r>
      <w:r>
        <w:rPr>
          <w:rFonts w:hint="eastAsia" w:asciiTheme="minorEastAsia" w:hAnsiTheme="minorEastAsia" w:eastAsiaTheme="minorEastAsia" w:cstheme="minorEastAsia"/>
          <w:b/>
          <w:bCs/>
          <w:color w:val="000000"/>
          <w:sz w:val="24"/>
          <w:highlight w:val="yellow"/>
          <w:lang w:val="en-US" w:eastAsia="zh-CN"/>
        </w:rPr>
        <w:t>造价咨询单个项目保底收费不超过2000元，</w:t>
      </w:r>
      <w:r>
        <w:rPr>
          <w:rFonts w:hint="eastAsia" w:asciiTheme="minorEastAsia" w:hAnsiTheme="minorEastAsia" w:eastAsiaTheme="minorEastAsia" w:cstheme="minorEastAsia"/>
          <w:b/>
          <w:bCs/>
          <w:color w:val="000000"/>
          <w:sz w:val="24"/>
          <w:highlight w:val="yellow"/>
        </w:rPr>
        <w:t>招标代理单</w:t>
      </w:r>
      <w:r>
        <w:rPr>
          <w:rFonts w:hint="eastAsia" w:asciiTheme="minorEastAsia" w:hAnsiTheme="minorEastAsia" w:eastAsiaTheme="minorEastAsia" w:cstheme="minorEastAsia"/>
          <w:b/>
          <w:bCs/>
          <w:color w:val="000000"/>
          <w:sz w:val="24"/>
          <w:highlight w:val="yellow"/>
          <w:lang w:val="en-US" w:eastAsia="zh-CN"/>
        </w:rPr>
        <w:t>个</w:t>
      </w:r>
      <w:r>
        <w:rPr>
          <w:rFonts w:hint="eastAsia" w:asciiTheme="minorEastAsia" w:hAnsiTheme="minorEastAsia" w:eastAsiaTheme="minorEastAsia" w:cstheme="minorEastAsia"/>
          <w:b/>
          <w:bCs/>
          <w:color w:val="000000"/>
          <w:sz w:val="24"/>
          <w:highlight w:val="yellow"/>
        </w:rPr>
        <w:t>项目保底收费</w:t>
      </w:r>
      <w:r>
        <w:rPr>
          <w:rFonts w:hint="eastAsia" w:asciiTheme="minorEastAsia" w:hAnsiTheme="minorEastAsia" w:eastAsiaTheme="minorEastAsia" w:cstheme="minorEastAsia"/>
          <w:b/>
          <w:bCs/>
          <w:color w:val="000000"/>
          <w:sz w:val="24"/>
          <w:highlight w:val="yellow"/>
          <w:lang w:val="en-US" w:eastAsia="zh-CN"/>
        </w:rPr>
        <w:t>不超过</w:t>
      </w:r>
      <w:r>
        <w:rPr>
          <w:rFonts w:hint="eastAsia" w:asciiTheme="minorEastAsia" w:hAnsiTheme="minorEastAsia" w:eastAsiaTheme="minorEastAsia" w:cstheme="minorEastAsia"/>
          <w:b/>
          <w:bCs/>
          <w:color w:val="000000"/>
          <w:sz w:val="24"/>
          <w:highlight w:val="yellow"/>
        </w:rPr>
        <w:t>5000元</w:t>
      </w:r>
      <w:r>
        <w:rPr>
          <w:rFonts w:hint="eastAsia" w:asciiTheme="minorEastAsia" w:hAnsiTheme="minorEastAsia" w:eastAsiaTheme="minorEastAsia" w:cstheme="minorEastAsia"/>
          <w:b/>
          <w:bCs/>
          <w:color w:val="000000"/>
          <w:sz w:val="24"/>
          <w:highlight w:val="yellow"/>
          <w:lang w:eastAsia="zh-CN"/>
        </w:rPr>
        <w:t>。</w:t>
      </w:r>
    </w:p>
    <w:p>
      <w:pPr>
        <w:spacing w:line="500" w:lineRule="exact"/>
        <w:ind w:firstLine="482" w:firstLineChars="200"/>
        <w:rPr>
          <w:rFonts w:hint="eastAsia" w:ascii="宋体" w:hAnsi="宋体"/>
          <w:b/>
          <w:bCs/>
          <w:sz w:val="24"/>
        </w:rPr>
      </w:pPr>
      <w:r>
        <w:rPr>
          <w:rFonts w:hint="eastAsia" w:ascii="宋体" w:hAnsi="宋体"/>
          <w:b/>
          <w:bCs/>
          <w:sz w:val="24"/>
        </w:rPr>
        <w:t>（一）招标代理服务报价要求</w:t>
      </w:r>
    </w:p>
    <w:p>
      <w:pPr>
        <w:tabs>
          <w:tab w:val="left" w:pos="180"/>
          <w:tab w:val="left" w:pos="540"/>
        </w:tabs>
        <w:spacing w:line="500" w:lineRule="exact"/>
        <w:ind w:firstLine="480" w:firstLineChars="200"/>
        <w:rPr>
          <w:rFonts w:hint="eastAsia" w:ascii="宋体" w:hAnsi="宋体"/>
          <w:sz w:val="24"/>
        </w:rPr>
      </w:pPr>
      <w:r>
        <w:rPr>
          <w:rFonts w:hint="eastAsia" w:ascii="宋体" w:hAnsi="宋体"/>
          <w:sz w:val="24"/>
        </w:rPr>
        <w:t>1、招标代理工作内容：建设工程中施工、服务、材料设备采购等全过程招标代理（含零星、材料、暂定价项目的招标）；招标文件、工程量清单、工程预算编制等。</w:t>
      </w:r>
    </w:p>
    <w:p>
      <w:pPr>
        <w:tabs>
          <w:tab w:val="left" w:pos="0"/>
          <w:tab w:val="left" w:pos="180"/>
        </w:tabs>
        <w:spacing w:line="500" w:lineRule="exact"/>
        <w:ind w:firstLine="480" w:firstLineChars="200"/>
        <w:rPr>
          <w:rFonts w:hint="eastAsia" w:ascii="宋体" w:hAnsi="宋体"/>
          <w:sz w:val="24"/>
        </w:rPr>
      </w:pPr>
      <w:r>
        <w:rPr>
          <w:rFonts w:hint="eastAsia" w:ascii="宋体" w:hAnsi="宋体"/>
          <w:sz w:val="24"/>
        </w:rPr>
        <w:t>2、代理费用：包括招标投标中心场地租用费、信息发布费、资料费、评标专家费、招标文件及工程量清单、工程预算编制费等全过程代理费用。</w:t>
      </w:r>
    </w:p>
    <w:p>
      <w:pPr>
        <w:tabs>
          <w:tab w:val="left" w:pos="180"/>
          <w:tab w:val="left" w:pos="540"/>
        </w:tabs>
        <w:spacing w:line="500" w:lineRule="exact"/>
        <w:ind w:firstLine="480" w:firstLineChars="200"/>
        <w:rPr>
          <w:rFonts w:hint="eastAsia" w:ascii="宋体" w:hAnsi="宋体"/>
          <w:sz w:val="24"/>
        </w:rPr>
      </w:pPr>
      <w:r>
        <w:rPr>
          <w:rFonts w:hint="eastAsia" w:ascii="宋体" w:hAnsi="宋体"/>
          <w:sz w:val="24"/>
        </w:rPr>
        <w:t>3、招标代理服务报价：</w:t>
      </w:r>
    </w:p>
    <w:p>
      <w:pPr>
        <w:tabs>
          <w:tab w:val="left" w:pos="180"/>
          <w:tab w:val="left" w:pos="540"/>
        </w:tabs>
        <w:spacing w:line="500" w:lineRule="exact"/>
        <w:ind w:firstLine="480" w:firstLineChars="200"/>
        <w:rPr>
          <w:rFonts w:hint="eastAsia" w:hAnsi="宋体"/>
          <w:sz w:val="24"/>
        </w:rPr>
      </w:pPr>
      <w:r>
        <w:rPr>
          <w:rFonts w:hint="eastAsia" w:ascii="宋体" w:hAnsi="宋体"/>
          <w:sz w:val="24"/>
        </w:rPr>
        <w:t>参照《招标代理服务收费管理暂行办法》（计价格[2002]1980号）规定的标准收费及浙价服[2009]172号等相关文件规定</w:t>
      </w:r>
      <w:r>
        <w:rPr>
          <w:rFonts w:hAnsi="宋体"/>
          <w:sz w:val="24"/>
        </w:rPr>
        <w:t>，由各投标单位根据自身实力自行报价，按</w:t>
      </w:r>
      <w:r>
        <w:rPr>
          <w:rFonts w:hAnsi="宋体"/>
          <w:b/>
          <w:sz w:val="24"/>
          <w:u w:val="single"/>
        </w:rPr>
        <w:t>标准收费的百分比</w:t>
      </w:r>
      <w:r>
        <w:rPr>
          <w:rFonts w:hAnsi="宋体"/>
          <w:sz w:val="24"/>
        </w:rPr>
        <w:t>进行报价，包括招标文件编制、清单编制、预算编制、组织资格预审、开标评标工作，支付评标专家费，发放中标通知书等相关工作及费用。若单次招标含2个及以上标段时，代理费用计算基数按标段的中标价合计数计算</w:t>
      </w:r>
      <w:r>
        <w:rPr>
          <w:rFonts w:hint="eastAsia" w:hAnsi="宋体"/>
          <w:sz w:val="24"/>
        </w:rPr>
        <w:t>。</w:t>
      </w:r>
      <w:r>
        <w:rPr>
          <w:rFonts w:hint="eastAsia" w:hAnsi="宋体"/>
          <w:sz w:val="24"/>
          <w:highlight w:val="yellow"/>
        </w:rPr>
        <w:t>此项目最高限价为计价格</w:t>
      </w:r>
      <w:r>
        <w:rPr>
          <w:rFonts w:hAnsi="宋体"/>
          <w:sz w:val="24"/>
          <w:highlight w:val="yellow"/>
        </w:rPr>
        <w:t>[2002]1980</w:t>
      </w:r>
      <w:r>
        <w:rPr>
          <w:rFonts w:hint="eastAsia" w:hAnsi="宋体"/>
          <w:sz w:val="24"/>
          <w:highlight w:val="yellow"/>
        </w:rPr>
        <w:t>号收费标准的</w:t>
      </w:r>
      <w:r>
        <w:rPr>
          <w:rFonts w:hAnsi="宋体"/>
          <w:sz w:val="24"/>
          <w:highlight w:val="yellow"/>
        </w:rPr>
        <w:t>7</w:t>
      </w:r>
      <w:r>
        <w:rPr>
          <w:rFonts w:hint="eastAsia" w:hAnsi="宋体"/>
          <w:sz w:val="24"/>
          <w:highlight w:val="yellow"/>
        </w:rPr>
        <w:t>0</w:t>
      </w:r>
      <w:r>
        <w:rPr>
          <w:rFonts w:hAnsi="宋体"/>
          <w:sz w:val="24"/>
          <w:highlight w:val="yellow"/>
        </w:rPr>
        <w:t>%</w:t>
      </w:r>
      <w:r>
        <w:rPr>
          <w:rFonts w:hint="eastAsia" w:hAnsi="宋体"/>
          <w:sz w:val="24"/>
          <w:highlight w:val="yellow"/>
        </w:rPr>
        <w:t>（报价精确到1%）。</w:t>
      </w:r>
    </w:p>
    <w:p>
      <w:pPr>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3、招标代理服务费、工程量清单及预算编制费的计算基数按单个项目中标价进行计算。</w:t>
      </w:r>
    </w:p>
    <w:p>
      <w:pPr>
        <w:spacing w:line="360" w:lineRule="auto"/>
        <w:ind w:firstLine="480" w:firstLineChars="200"/>
        <w:rPr>
          <w:rFonts w:hint="eastAsia"/>
          <w:highlight w:val="yellow"/>
        </w:rPr>
      </w:pPr>
      <w:r>
        <w:rPr>
          <w:rFonts w:hint="eastAsia" w:asciiTheme="minorEastAsia" w:hAnsiTheme="minorEastAsia" w:eastAsiaTheme="minorEastAsia" w:cstheme="minorEastAsia"/>
          <w:color w:val="000000"/>
          <w:sz w:val="24"/>
          <w:highlight w:val="none"/>
        </w:rPr>
        <w:t>4、招标代理服务费、工程量清单及预算编制费均由具体招标项目的中标人支付。</w:t>
      </w:r>
    </w:p>
    <w:p>
      <w:pPr>
        <w:tabs>
          <w:tab w:val="left" w:pos="180"/>
          <w:tab w:val="left" w:pos="540"/>
        </w:tabs>
        <w:spacing w:line="460" w:lineRule="exact"/>
        <w:ind w:firstLine="420" w:firstLineChars="175"/>
        <w:rPr>
          <w:rFonts w:hint="eastAsia"/>
          <w:sz w:val="24"/>
        </w:rPr>
      </w:pPr>
      <w:r>
        <w:rPr>
          <w:rFonts w:hint="eastAsia"/>
          <w:sz w:val="24"/>
          <w:lang w:val="en-US" w:eastAsia="zh-CN"/>
        </w:rPr>
        <w:t>5</w:t>
      </w:r>
      <w:r>
        <w:rPr>
          <w:rFonts w:hint="eastAsia"/>
          <w:sz w:val="24"/>
        </w:rPr>
        <w:t>、工程建设项目招标代理收费应合理，不得以恶意低价作为竞争的主要手段，应以服务质量为竞争基础，代理费用不得低于成本价。</w:t>
      </w:r>
    </w:p>
    <w:p>
      <w:pPr>
        <w:spacing w:line="500" w:lineRule="exact"/>
        <w:ind w:firstLine="482" w:firstLineChars="200"/>
        <w:rPr>
          <w:rFonts w:hint="eastAsia" w:ascii="宋体" w:hAnsi="宋体"/>
          <w:b/>
          <w:bCs/>
          <w:sz w:val="24"/>
        </w:rPr>
      </w:pPr>
      <w:r>
        <w:rPr>
          <w:rFonts w:hint="eastAsia" w:ascii="宋体" w:hAnsi="宋体"/>
          <w:b/>
          <w:bCs/>
          <w:sz w:val="24"/>
        </w:rPr>
        <w:t>（二）造价咨询服务报价要求</w:t>
      </w:r>
    </w:p>
    <w:p>
      <w:pPr>
        <w:tabs>
          <w:tab w:val="left" w:pos="180"/>
          <w:tab w:val="left" w:pos="540"/>
        </w:tabs>
        <w:spacing w:line="500" w:lineRule="exact"/>
        <w:ind w:firstLine="420" w:firstLineChars="175"/>
        <w:rPr>
          <w:rFonts w:hint="eastAsia" w:ascii="宋体" w:hAnsi="宋体"/>
          <w:sz w:val="24"/>
        </w:rPr>
      </w:pPr>
      <w:r>
        <w:rPr>
          <w:rFonts w:hint="eastAsia" w:ascii="宋体" w:hAnsi="宋体"/>
          <w:sz w:val="24"/>
        </w:rPr>
        <w:t>1、参照《浙江省物价局关于进一步完善工程造价咨询服务收费的通知》（浙价服[2009]84号）规定的标准收费，由各投标单位根据自身实力自行报价，按标准收费的百分比进行报价，</w:t>
      </w:r>
      <w:r>
        <w:rPr>
          <w:rFonts w:hint="eastAsia" w:ascii="宋体" w:hAnsi="宋体"/>
          <w:sz w:val="24"/>
          <w:highlight w:val="yellow"/>
        </w:rPr>
        <w:t>要求不得高于</w:t>
      </w:r>
      <w:r>
        <w:rPr>
          <w:rFonts w:ascii="宋体" w:hAnsi="宋体"/>
          <w:sz w:val="24"/>
          <w:highlight w:val="yellow"/>
        </w:rPr>
        <w:t>70</w:t>
      </w:r>
      <w:r>
        <w:rPr>
          <w:rFonts w:hint="eastAsia" w:ascii="宋体" w:hAnsi="宋体"/>
          <w:sz w:val="24"/>
          <w:highlight w:val="yellow"/>
        </w:rPr>
        <w:t>%（报价精确到1%）</w:t>
      </w:r>
      <w:r>
        <w:rPr>
          <w:rFonts w:hint="eastAsia" w:ascii="宋体" w:hAnsi="宋体"/>
          <w:sz w:val="24"/>
        </w:rPr>
        <w:t>。咨询服务计算基数分类如下：</w:t>
      </w:r>
    </w:p>
    <w:p>
      <w:pPr>
        <w:tabs>
          <w:tab w:val="left" w:pos="180"/>
          <w:tab w:val="left" w:pos="540"/>
        </w:tabs>
        <w:spacing w:line="500" w:lineRule="exact"/>
        <w:ind w:firstLine="422" w:firstLineChars="175"/>
        <w:rPr>
          <w:rFonts w:hint="eastAsia" w:ascii="宋体" w:hAnsi="宋体"/>
          <w:sz w:val="24"/>
        </w:rPr>
      </w:pPr>
      <w:r>
        <w:rPr>
          <w:rFonts w:hint="eastAsia" w:ascii="宋体" w:hAnsi="宋体"/>
          <w:b/>
          <w:sz w:val="24"/>
        </w:rPr>
        <w:t>（1）</w:t>
      </w:r>
      <w:r>
        <w:rPr>
          <w:rFonts w:hint="eastAsia" w:ascii="宋体" w:hAnsi="宋体"/>
          <w:sz w:val="24"/>
        </w:rPr>
        <w:t>业主方在服务期内委托的</w:t>
      </w:r>
      <w:r>
        <w:rPr>
          <w:rFonts w:ascii="宋体" w:hAnsi="宋体"/>
          <w:sz w:val="24"/>
        </w:rPr>
        <w:t>项目</w:t>
      </w:r>
      <w:r>
        <w:rPr>
          <w:rFonts w:hint="eastAsia" w:ascii="宋体" w:hAnsi="宋体"/>
          <w:sz w:val="24"/>
        </w:rPr>
        <w:t>变更联系单审核（评审意见）费用：由原招标代理的项目</w:t>
      </w:r>
      <w:r>
        <w:rPr>
          <w:rFonts w:ascii="宋体" w:hAnsi="宋体"/>
          <w:sz w:val="24"/>
        </w:rPr>
        <w:t>不再另行收费</w:t>
      </w:r>
      <w:r>
        <w:rPr>
          <w:rFonts w:hint="eastAsia" w:ascii="宋体" w:hAnsi="宋体"/>
          <w:sz w:val="24"/>
        </w:rPr>
        <w:t xml:space="preserve">；非原招标代理的项目按收费标准中“工程结算审核”基本收费类别； </w:t>
      </w:r>
    </w:p>
    <w:p>
      <w:pPr>
        <w:tabs>
          <w:tab w:val="left" w:pos="180"/>
          <w:tab w:val="left" w:pos="540"/>
        </w:tabs>
        <w:spacing w:line="500" w:lineRule="exact"/>
        <w:ind w:firstLine="422" w:firstLineChars="175"/>
        <w:rPr>
          <w:rFonts w:hint="eastAsia" w:ascii="宋体" w:hAnsi="宋体"/>
          <w:sz w:val="24"/>
        </w:rPr>
      </w:pPr>
      <w:r>
        <w:rPr>
          <w:rFonts w:hint="eastAsia" w:ascii="宋体" w:hAnsi="宋体"/>
          <w:b/>
          <w:sz w:val="24"/>
        </w:rPr>
        <w:t>（2）</w:t>
      </w:r>
      <w:r>
        <w:rPr>
          <w:rFonts w:hint="eastAsia" w:ascii="宋体" w:hAnsi="宋体"/>
          <w:sz w:val="24"/>
        </w:rPr>
        <w:t>业主方在服务期内委托的零星工程结算审核以及其他另行委托的预算编制、预算审核：咨询服务费以1份报告为1个单位，计费基数按报告内送审价或工程造价的合计数计算。工程结算审核的追加费用由各咨询单位向施工单位自行收取。</w:t>
      </w:r>
    </w:p>
    <w:p>
      <w:pPr>
        <w:spacing w:line="360" w:lineRule="auto"/>
        <w:ind w:firstLine="482" w:firstLineChars="200"/>
        <w:rPr>
          <w:rFonts w:hint="eastAsia" w:asciiTheme="minorEastAsia" w:hAnsiTheme="minorEastAsia" w:eastAsiaTheme="minorEastAsia" w:cstheme="minorEastAsia"/>
          <w:color w:val="000000"/>
          <w:sz w:val="24"/>
          <w:highlight w:val="red"/>
        </w:rPr>
      </w:pPr>
      <w:r>
        <w:rPr>
          <w:rFonts w:hint="eastAsia" w:ascii="宋体" w:hAnsi="宋体"/>
          <w:b/>
          <w:sz w:val="24"/>
        </w:rPr>
        <w:t>（3）</w:t>
      </w:r>
      <w:r>
        <w:rPr>
          <w:rFonts w:hint="eastAsia" w:ascii="宋体" w:hAnsi="宋体"/>
          <w:sz w:val="24"/>
        </w:rPr>
        <w:t>业主方在服务期内单独委托的全过程跟踪审计，原则上由原招标代理单位负责，费用按标准收费的</w:t>
      </w:r>
      <w:r>
        <w:rPr>
          <w:rFonts w:ascii="宋体" w:hAnsi="宋体"/>
          <w:sz w:val="24"/>
        </w:rPr>
        <w:t>30</w:t>
      </w:r>
      <w:r>
        <w:rPr>
          <w:rFonts w:hint="eastAsia" w:ascii="宋体" w:hAnsi="宋体"/>
          <w:sz w:val="24"/>
        </w:rPr>
        <w:t>%计取。</w:t>
      </w:r>
    </w:p>
    <w:p>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color w:val="000000"/>
          <w:sz w:val="24"/>
          <w:highlight w:val="none"/>
        </w:rPr>
        <w:t>三、招标代理服务内容</w:t>
      </w:r>
      <w:r>
        <w:rPr>
          <w:rFonts w:hint="eastAsia" w:asciiTheme="minorEastAsia" w:hAnsiTheme="minorEastAsia" w:eastAsiaTheme="minorEastAsia" w:cstheme="minorEastAsia"/>
          <w:b/>
          <w:color w:val="000000"/>
          <w:sz w:val="24"/>
          <w:highlight w:val="none"/>
          <w:lang w:val="en-US" w:eastAsia="zh-CN"/>
        </w:rPr>
        <w:t>及要求</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1、按《工程建设项目施工招标投标办法》规定，招标代理主要工作内容：</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①拟订招标方案；</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②招标申请与协调；</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③审查投标人资格；</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④编制工程量清单及预算（标底）；</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⑤编制和出售施工资格预审文件、招标文件；</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⑥组织投标人踏勘现场，答疑澄清；</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⑦接受投标，组织开标、评标，协助定标；</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 8 \* GB3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⑧</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草拟合同；</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 9 \* GB3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⑨</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招标人委托的其他事项。</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2、其他相关说明及要求：</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①审查投标人资格包括：组织资格审查委员会或评标委员会，根据资格预审文件或招标文件，采用资格预审或后审的方式审查潜在投标人或投标人资格，确定潜在投标人或投标人工作；</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工程量清单编制要求：根据施工图纸、《建设工程工程量清单计价规范》，参照相关的工程预算定额、工程量计算规则、施工费用计算规则、市场价格等情况编制工程量清单，要求在提供清单的同时提供预算书；</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③组织投标人踏勘现场，答疑澄清：组织投标人踏勘现场，收集投标人提出的问题，编制答疑会议纪要或补遗文件，发给所有招标文件的收受人；</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④招标完成后应及时编制招标投标情况书面报告，整理招标投标资料汇编，及时报发包人备案；</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 5 \* GB3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⑤</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及时完成中标通知书备案、施工图纸的收回；</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⑥招标相关资料均需加盖相应的资质章、资格章、执业章；</w:t>
      </w:r>
    </w:p>
    <w:p>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⑦与项目招标有关的其他事项。</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3、为招标人提供的为完成招标工作的相关咨询服务：招标投标程序咨询、合同咨询。</w:t>
      </w:r>
    </w:p>
    <w:p>
      <w:pPr>
        <w:autoSpaceDE w:val="0"/>
        <w:autoSpaceDN w:val="0"/>
        <w:adjustRightInd w:val="0"/>
        <w:spacing w:line="500" w:lineRule="exact"/>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4、承担并支付以下费用：招标投标中心场地租用费、信息发布费、资料费、评标专家费、招标文件及工程量清单编制费、预算编制费。</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在收到施工图纸后按招标人要求的时间编制完成工程量清单报招标人审核，并在审核后5天内完成清单及招标文件的备案。在接到项目代理通知后，代理单位应立即创造条件开展招标工作，招标前期资料不齐时，需积极想办法先行发布招标信息，尽量缩短招标时间。</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6、施工图范围内工程造价编制误差率不得超过±2%。</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在工程的招标代理中，必须严格按照《中华人民共和国招标投标法》、《中华人民共和国招标投标法实施条例》、《嘉兴市建设工程招标投标实施办法》等有关法律、法规等进行规范操作。招标代理机构人员不得与所负责招标代理的项目的所有投标人有任何经济利害关系。</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8、在坚持公开、公平、公正、择优的原则基础上，必须始终维护招标人权益。</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9、组织思想品德好、综合能力强，且招标经验丰富的项目班子，以确保招标工作的顺利完成。</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10、加强协调工作，各项招标工作必须满足所要招标项目的要求。</w:t>
      </w:r>
    </w:p>
    <w:p>
      <w:pPr>
        <w:spacing w:line="5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四、</w:t>
      </w:r>
      <w:r>
        <w:rPr>
          <w:rFonts w:hint="eastAsia" w:asciiTheme="minorEastAsia" w:hAnsiTheme="minorEastAsia" w:eastAsiaTheme="minorEastAsia" w:cstheme="minorEastAsia"/>
          <w:b/>
          <w:bCs/>
          <w:sz w:val="24"/>
        </w:rPr>
        <w:t>造价咨询服务工作内容及要求</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1、工程造价咨询服务主要工作内容：</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（1）工程结算审核</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①根据工程合同相应的建设工程法律、法规、标准规范与工程计价依据、招投标文件、施工图纸、现场发生的各项有效证明审核工程造价；</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②现场踏勘、计量复核；</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③工程量、工程要素价格及各类项目费用进行审核确定；</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④编制工程结算审核报告。</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（2）工程预算编制、预算审核</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根据国家有关法律、法规和标准规范以及施工图纸文件、工程计价依据、工程量计算规则、各种措施费、市场要素价格等编制或审核预算，编制工程造价咨询报告。</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（3）参与提供造价咨询服务的工程合同谈判，谈判过程中做好咨询报告的解释工作。</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（4）施工阶段全过程工程造价控制</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①编制工程量清单及招标控制价；</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②制定造价控制的实施流程，对承包人报送的工程预算进行审核，确定造价控制目标；</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③根据施工承包合同、进度计划,编制用款计划书；</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④参与造价控制有关的工程会议；</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⑤负责对承包人报送的每月(期)完成进度款月报表进行审核，并提出当月(期)付款建议书；</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⑥承发包方提出索赔时，凭据合同和有关法律、法规，提供咨询意见；</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⑦协助业主及时审核因设计变更、现场签证等发生的费用，相应调整造价控制目标，并向业主提供造价控制动态分析报告；</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⑧核定分阶段完工的分部工程结算；</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⑨会同业主办理工程竣工结算，提供完整的结算报告及各项费用汇总表；</w:t>
      </w:r>
    </w:p>
    <w:p>
      <w:pPr>
        <w:autoSpaceDE w:val="0"/>
        <w:autoSpaceDN w:val="0"/>
        <w:adjustRightInd w:val="0"/>
        <w:spacing w:line="500" w:lineRule="exact"/>
        <w:ind w:firstLine="480" w:firstLineChars="200"/>
        <w:rPr>
          <w:rFonts w:hint="eastAsia" w:asciiTheme="minorEastAsia" w:hAnsiTheme="minorEastAsia" w:eastAsiaTheme="minorEastAsia" w:cstheme="minorEastAsia"/>
          <w:color w:val="FF0000"/>
          <w:sz w:val="24"/>
          <w:highlight w:val="yellow"/>
          <w:u w:val="single"/>
        </w:rPr>
      </w:pPr>
      <w:r>
        <w:rPr>
          <w:rFonts w:hint="eastAsia" w:asciiTheme="minorEastAsia" w:hAnsiTheme="minorEastAsia" w:eastAsiaTheme="minorEastAsia" w:cstheme="minorEastAsia"/>
          <w:sz w:val="24"/>
        </w:rPr>
        <w:t>⑩提供与造价控制相关的人工、材料、设备等造价信息和其他咨询服务。</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单项工程变更联系单审核（评审意见）须在收到送审资料后5天内（具体按本次招标承诺时间）编制完成咨询意见；零星工程结算审核及其他预算审核须在收到送审资料后10天内（具体按本次招标承诺时间）编制完成咨询报告初稿；上述咨询项目若发现资料不齐时，应在收到资料后3天内向招标人提出，并明确相关资料要求。</w:t>
      </w:r>
    </w:p>
    <w:p>
      <w:pPr>
        <w:autoSpaceDE w:val="0"/>
        <w:autoSpaceDN w:val="0"/>
        <w:adjustRightIn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3、在工程造价咨询服务过程中，必须严格按照《浙江省建设工程造价咨询执业操作规程》及嘉兴市建设工程造价的有关法律、法规等进行规范操作。</w:t>
      </w:r>
    </w:p>
    <w:p>
      <w:pPr>
        <w:pStyle w:val="10"/>
        <w:snapToGrid w:val="0"/>
        <w:spacing w:line="360" w:lineRule="auto"/>
        <w:ind w:firstLine="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4、组织思想品德好、综合能力强且经验丰富的咨询人员，咨询工作开展过程中若碰到问题需招标人协调的，需向招标人及时反映，并加强主动性、积极性及协调能力，以确保咨询工作的顺利完成。</w:t>
      </w:r>
    </w:p>
    <w:p>
      <w:pPr>
        <w:pStyle w:val="10"/>
        <w:snapToGrid w:val="0"/>
        <w:spacing w:line="360" w:lineRule="auto"/>
        <w:ind w:firstLine="0"/>
        <w:rPr>
          <w:rFonts w:hint="eastAsia" w:asciiTheme="minorEastAsia" w:hAnsiTheme="minorEastAsia" w:eastAsiaTheme="minorEastAsia" w:cstheme="minorEastAsia"/>
          <w:b/>
          <w:color w:val="000000"/>
          <w:sz w:val="24"/>
          <w:highlight w:val="none"/>
          <w:u w:val="none"/>
        </w:rPr>
      </w:pPr>
      <w:r>
        <w:rPr>
          <w:rFonts w:hint="eastAsia" w:asciiTheme="minorEastAsia" w:hAnsiTheme="minorEastAsia" w:eastAsiaTheme="minorEastAsia" w:cstheme="minorEastAsia"/>
          <w:b/>
          <w:color w:val="000000"/>
          <w:sz w:val="24"/>
          <w:highlight w:val="none"/>
          <w:u w:val="none"/>
        </w:rPr>
        <w:t>五、对服务团队的人员要求：</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服务团队成员不少于五人，从事招标代理工作经验在三年以上。</w:t>
      </w:r>
    </w:p>
    <w:p>
      <w:pPr>
        <w:snapToGrid w:val="0"/>
        <w:spacing w:line="360" w:lineRule="auto"/>
        <w:ind w:left="482" w:hanging="482" w:hanging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b/>
          <w:color w:val="000000"/>
          <w:sz w:val="24"/>
          <w:highlight w:val="none"/>
        </w:rPr>
        <w:t>六、其他要求：</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1、确保招标工作质量和进度，对招标人的需求作出迅速反应，在招标过程中有关人员保持24小时通信联络，随叫随到，为业主提供优良的服务。</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2、项目负责人和主要人员未经招标人同意不随意更换，保证到位率100％。</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3、受托方必须严格遵守国家和地方政府有关招投标的法律、法规和政策，始终坚持公开、公平、公正、择优的原则，组织好各项招投标活动，严格保守业主经济秘密和技术秘密，遵守职业道德并签订廉政协议。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spacing w:line="360" w:lineRule="auto"/>
        <w:jc w:val="center"/>
        <w:rPr>
          <w:b/>
          <w:bCs/>
          <w:color w:val="000000"/>
          <w:sz w:val="32"/>
          <w:highlight w:val="none"/>
        </w:rPr>
      </w:pPr>
      <w:r>
        <w:rPr>
          <w:rFonts w:hAnsi="宋体"/>
          <w:b/>
          <w:bCs/>
          <w:color w:val="000000"/>
          <w:sz w:val="32"/>
          <w:highlight w:val="none"/>
        </w:rPr>
        <w:t>第</w:t>
      </w:r>
      <w:r>
        <w:rPr>
          <w:rFonts w:hint="eastAsia" w:hAnsi="宋体"/>
          <w:b/>
          <w:bCs/>
          <w:color w:val="000000"/>
          <w:sz w:val="32"/>
          <w:highlight w:val="none"/>
          <w:lang w:val="en-US" w:eastAsia="zh-CN"/>
        </w:rPr>
        <w:t>五</w:t>
      </w:r>
      <w:r>
        <w:rPr>
          <w:rFonts w:hAnsi="宋体"/>
          <w:b/>
          <w:bCs/>
          <w:color w:val="000000"/>
          <w:sz w:val="32"/>
          <w:highlight w:val="none"/>
        </w:rPr>
        <w:t>章</w:t>
      </w:r>
      <w:r>
        <w:rPr>
          <w:b/>
          <w:bCs/>
          <w:color w:val="000000"/>
          <w:sz w:val="32"/>
          <w:highlight w:val="none"/>
        </w:rPr>
        <w:t xml:space="preserve">  </w:t>
      </w:r>
      <w:r>
        <w:rPr>
          <w:rFonts w:hAnsi="宋体"/>
          <w:b/>
          <w:bCs/>
          <w:color w:val="000000"/>
          <w:sz w:val="32"/>
          <w:highlight w:val="none"/>
        </w:rPr>
        <w:t>合同主要条款</w:t>
      </w:r>
    </w:p>
    <w:p>
      <w:pPr>
        <w:spacing w:after="156" w:afterLines="50" w:line="360" w:lineRule="auto"/>
        <w:jc w:val="center"/>
        <w:rPr>
          <w:rFonts w:hint="eastAsia" w:hAnsi="宋体"/>
          <w:b/>
          <w:bCs/>
          <w:sz w:val="30"/>
          <w:szCs w:val="30"/>
        </w:rPr>
      </w:pPr>
      <w:r>
        <w:rPr>
          <w:rFonts w:hint="eastAsia" w:hAnsi="宋体"/>
          <w:b/>
          <w:bCs/>
          <w:sz w:val="30"/>
          <w:szCs w:val="30"/>
        </w:rPr>
        <w:t>嘉兴市第一医院202</w:t>
      </w:r>
      <w:r>
        <w:rPr>
          <w:rFonts w:hint="eastAsia" w:hAnsi="宋体"/>
          <w:b/>
          <w:bCs/>
          <w:sz w:val="30"/>
          <w:szCs w:val="30"/>
          <w:lang w:val="en-US" w:eastAsia="zh-CN"/>
        </w:rPr>
        <w:t>3</w:t>
      </w:r>
      <w:r>
        <w:rPr>
          <w:rFonts w:hint="eastAsia" w:hAnsi="宋体"/>
          <w:b/>
          <w:bCs/>
          <w:sz w:val="30"/>
          <w:szCs w:val="30"/>
        </w:rPr>
        <w:t>年建设工程招标代理及工程造价咨询服务合同</w:t>
      </w:r>
    </w:p>
    <w:p>
      <w:pPr>
        <w:spacing w:line="360" w:lineRule="auto"/>
        <w:ind w:firstLine="480" w:firstLineChars="200"/>
        <w:rPr>
          <w:rFonts w:ascii="宋体" w:hAnsi="宋体"/>
          <w:sz w:val="24"/>
          <w:u w:val="single"/>
          <w:vertAlign w:val="subscript"/>
        </w:rPr>
      </w:pPr>
      <w:r>
        <w:rPr>
          <w:rFonts w:hint="eastAsia" w:ascii="宋体" w:hAnsi="宋体"/>
          <w:sz w:val="24"/>
        </w:rPr>
        <w:t>委托人：</w:t>
      </w:r>
      <w:r>
        <w:rPr>
          <w:rFonts w:hint="eastAsia"/>
          <w:sz w:val="24"/>
          <w:szCs w:val="20"/>
          <w:u w:val="single"/>
        </w:rPr>
        <w:t>嘉兴市第一医院</w:t>
      </w:r>
    </w:p>
    <w:p>
      <w:pPr>
        <w:spacing w:line="360" w:lineRule="auto"/>
        <w:ind w:firstLine="480" w:firstLineChars="200"/>
        <w:rPr>
          <w:rFonts w:hint="eastAsia" w:ascii="宋体" w:hAnsi="宋体"/>
          <w:sz w:val="24"/>
        </w:rPr>
      </w:pPr>
      <w:r>
        <w:rPr>
          <w:rFonts w:hint="eastAsia" w:ascii="宋体" w:hAnsi="宋体"/>
          <w:sz w:val="24"/>
        </w:rPr>
        <w:t>受托人：</w:t>
      </w:r>
      <w:r>
        <w:rPr>
          <w:rFonts w:hint="eastAsia" w:ascii="宋体" w:hAnsi="宋体"/>
          <w:sz w:val="24"/>
          <w:u w:val="single"/>
        </w:rPr>
        <w:t xml:space="preserve">                              </w:t>
      </w:r>
    </w:p>
    <w:p>
      <w:pPr>
        <w:spacing w:line="360" w:lineRule="auto"/>
        <w:outlineLvl w:val="0"/>
        <w:rPr>
          <w:rFonts w:hint="eastAsia" w:asciiTheme="minorEastAsia" w:hAnsiTheme="minorEastAsia" w:eastAsiaTheme="minorEastAsia" w:cstheme="minorEastAsia"/>
          <w:sz w:val="24"/>
          <w:u w:val="single"/>
        </w:rPr>
      </w:pPr>
      <w:r>
        <w:rPr>
          <w:rFonts w:hint="eastAsia" w:ascii="宋体" w:hAnsi="宋体"/>
          <w:sz w:val="24"/>
        </w:rPr>
        <w:t xml:space="preserve">    依照《中华人民共和国合同法》、 《中华人民共和国招标投标法》及国家的有</w:t>
      </w:r>
      <w:r>
        <w:rPr>
          <w:rFonts w:hint="eastAsia" w:asciiTheme="minorEastAsia" w:hAnsiTheme="minorEastAsia" w:eastAsiaTheme="minorEastAsia" w:cstheme="minorEastAsia"/>
          <w:sz w:val="24"/>
        </w:rPr>
        <w:t>关法律、行政法规，遵循平等、 自愿、公平和诚实信用的原则，双方就</w:t>
      </w:r>
      <w:r>
        <w:rPr>
          <w:rFonts w:hint="eastAsia" w:asciiTheme="minorEastAsia" w:hAnsiTheme="minorEastAsia" w:eastAsiaTheme="minorEastAsia" w:cstheme="minorEastAsia"/>
          <w:sz w:val="24"/>
          <w:szCs w:val="20"/>
        </w:rPr>
        <w:t>嘉兴市第一医院</w:t>
      </w:r>
      <w:r>
        <w:rPr>
          <w:rFonts w:hint="eastAsia" w:asciiTheme="minorEastAsia" w:hAnsiTheme="minorEastAsia" w:eastAsiaTheme="minorEastAsia" w:cstheme="minorEastAsia"/>
          <w:sz w:val="24"/>
          <w:szCs w:val="20"/>
          <w:lang w:val="en-US" w:eastAsia="zh-CN"/>
        </w:rPr>
        <w:t>2023-2024</w:t>
      </w:r>
      <w:r>
        <w:rPr>
          <w:rFonts w:hint="eastAsia" w:asciiTheme="minorEastAsia" w:hAnsiTheme="minorEastAsia" w:eastAsiaTheme="minorEastAsia" w:cstheme="minorEastAsia"/>
          <w:sz w:val="24"/>
          <w:szCs w:val="20"/>
        </w:rPr>
        <w:t>年建设工程招标代理及工程造价咨询服务</w:t>
      </w:r>
      <w:r>
        <w:rPr>
          <w:rFonts w:hint="eastAsia" w:asciiTheme="minorEastAsia" w:hAnsiTheme="minorEastAsia" w:eastAsiaTheme="minorEastAsia" w:cstheme="minorEastAsia"/>
          <w:sz w:val="24"/>
        </w:rPr>
        <w:t>事项协商一致，订立本合同。</w:t>
      </w:r>
    </w:p>
    <w:p>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一、服务范围</w:t>
      </w:r>
    </w:p>
    <w:p>
      <w:pPr>
        <w:spacing w:line="360" w:lineRule="auto"/>
        <w:outlineLvl w:val="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b/>
          <w:bCs/>
          <w:sz w:val="24"/>
          <w:szCs w:val="20"/>
        </w:rPr>
        <w:t>（1）招标代理服务范围：</w:t>
      </w:r>
      <w:r>
        <w:rPr>
          <w:rFonts w:hint="eastAsia" w:asciiTheme="minorEastAsia" w:hAnsiTheme="minorEastAsia" w:eastAsiaTheme="minorEastAsia" w:cstheme="minorEastAsia"/>
          <w:sz w:val="24"/>
          <w:szCs w:val="20"/>
        </w:rPr>
        <w:t>202</w:t>
      </w:r>
      <w:r>
        <w:rPr>
          <w:rFonts w:hint="eastAsia" w:asciiTheme="minorEastAsia" w:hAnsiTheme="minorEastAsia" w:eastAsiaTheme="minorEastAsia" w:cstheme="minorEastAsia"/>
          <w:sz w:val="24"/>
          <w:szCs w:val="20"/>
          <w:lang w:val="en-US" w:eastAsia="zh-CN"/>
        </w:rPr>
        <w:t>3-2024</w:t>
      </w:r>
      <w:r>
        <w:rPr>
          <w:rFonts w:hint="eastAsia" w:asciiTheme="minorEastAsia" w:hAnsiTheme="minorEastAsia" w:eastAsiaTheme="minorEastAsia" w:cstheme="minorEastAsia"/>
          <w:sz w:val="24"/>
          <w:szCs w:val="20"/>
        </w:rPr>
        <w:t>年度嘉兴市第一医院（不含二期工程建设项目）建设工程涉及需要招标项目的招标代理服务，包括工程类、服务类及货物类的招标代理（含工程量清单及招标控制价编制等）服务。</w:t>
      </w:r>
    </w:p>
    <w:p>
      <w:pPr>
        <w:spacing w:line="480" w:lineRule="exact"/>
        <w:outlineLvl w:val="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b/>
          <w:bCs/>
          <w:sz w:val="24"/>
          <w:szCs w:val="20"/>
        </w:rPr>
        <w:t>（2）造价咨询服务范围：</w:t>
      </w:r>
      <w:r>
        <w:rPr>
          <w:rFonts w:hint="eastAsia" w:asciiTheme="minorEastAsia" w:hAnsiTheme="minorEastAsia" w:eastAsiaTheme="minorEastAsia" w:cstheme="minorEastAsia"/>
          <w:sz w:val="24"/>
          <w:szCs w:val="20"/>
        </w:rPr>
        <w:t>202</w:t>
      </w:r>
      <w:r>
        <w:rPr>
          <w:rFonts w:hint="eastAsia" w:asciiTheme="minorEastAsia" w:hAnsiTheme="minorEastAsia" w:eastAsiaTheme="minorEastAsia" w:cstheme="minorEastAsia"/>
          <w:sz w:val="24"/>
          <w:szCs w:val="20"/>
          <w:lang w:val="en-US" w:eastAsia="zh-CN"/>
        </w:rPr>
        <w:t>3-2024</w:t>
      </w:r>
      <w:r>
        <w:rPr>
          <w:rFonts w:hint="eastAsia" w:asciiTheme="minorEastAsia" w:hAnsiTheme="minorEastAsia" w:eastAsiaTheme="minorEastAsia" w:cstheme="minorEastAsia"/>
          <w:sz w:val="24"/>
          <w:szCs w:val="20"/>
        </w:rPr>
        <w:t>年度嘉兴市第一医院（不含二期工程建设项目）建设工程预算编制、预算审核、全过程跟踪审计、工程结算审核等工程造价咨询服务。</w:t>
      </w:r>
    </w:p>
    <w:p>
      <w:pPr>
        <w:spacing w:line="480" w:lineRule="exact"/>
        <w:ind w:firstLine="480" w:firstLineChars="200"/>
        <w:outlineLvl w:val="0"/>
        <w:rPr>
          <w:rFonts w:hint="eastAsia" w:ascii="宋体" w:hAnsi="宋体"/>
          <w:b/>
          <w:sz w:val="24"/>
        </w:rPr>
      </w:pPr>
      <w:r>
        <w:rPr>
          <w:rFonts w:hint="eastAsia" w:ascii="宋体" w:hAnsi="宋体"/>
          <w:sz w:val="24"/>
        </w:rPr>
        <w:t>二、</w:t>
      </w:r>
      <w:r>
        <w:rPr>
          <w:rFonts w:hint="eastAsia" w:ascii="宋体" w:hAnsi="宋体"/>
          <w:b/>
          <w:sz w:val="24"/>
        </w:rPr>
        <w:t>服务期限</w:t>
      </w:r>
    </w:p>
    <w:p>
      <w:pPr>
        <w:pStyle w:val="10"/>
        <w:spacing w:line="360" w:lineRule="auto"/>
        <w:ind w:left="0" w:leftChars="0" w:firstLine="480" w:firstLineChars="200"/>
        <w:rPr>
          <w:rFonts w:hint="eastAsia" w:ascii="宋体" w:hAnsi="宋体"/>
          <w:sz w:val="24"/>
          <w:u w:val="single"/>
        </w:rPr>
      </w:pPr>
      <w:r>
        <w:rPr>
          <w:rFonts w:hint="eastAsia"/>
          <w:sz w:val="24"/>
          <w:szCs w:val="20"/>
        </w:rPr>
        <w:t>服务期自合同签订之日起</w:t>
      </w:r>
      <w:r>
        <w:rPr>
          <w:rFonts w:hint="eastAsia"/>
          <w:sz w:val="24"/>
          <w:szCs w:val="20"/>
          <w:lang w:val="en-US" w:eastAsia="zh-CN"/>
        </w:rPr>
        <w:t>二</w:t>
      </w:r>
      <w:r>
        <w:rPr>
          <w:rFonts w:hint="eastAsia"/>
          <w:sz w:val="24"/>
          <w:szCs w:val="20"/>
        </w:rPr>
        <w:t>年，具体单项工程服务期以业主委托为准。</w:t>
      </w:r>
    </w:p>
    <w:p>
      <w:pPr>
        <w:pStyle w:val="10"/>
        <w:spacing w:line="360" w:lineRule="auto"/>
        <w:ind w:left="0" w:leftChars="0" w:firstLine="482" w:firstLineChars="200"/>
        <w:rPr>
          <w:rFonts w:hint="eastAsia" w:ascii="宋体" w:hAnsi="宋体"/>
          <w:b/>
          <w:sz w:val="24"/>
        </w:rPr>
      </w:pPr>
      <w:r>
        <w:rPr>
          <w:rFonts w:hint="eastAsia" w:ascii="宋体" w:hAnsi="宋体"/>
          <w:b/>
          <w:sz w:val="24"/>
        </w:rPr>
        <w:t>三、服务工作内容及要求</w:t>
      </w:r>
    </w:p>
    <w:p>
      <w:pPr>
        <w:tabs>
          <w:tab w:val="left" w:pos="180"/>
          <w:tab w:val="left" w:pos="540"/>
        </w:tabs>
        <w:spacing w:line="500" w:lineRule="exact"/>
        <w:ind w:firstLine="482" w:firstLineChars="200"/>
        <w:rPr>
          <w:rFonts w:hint="eastAsia" w:ascii="宋体" w:hAnsi="宋体"/>
          <w:sz w:val="24"/>
        </w:rPr>
      </w:pPr>
      <w:r>
        <w:rPr>
          <w:rFonts w:hint="eastAsia" w:ascii="宋体" w:hAnsi="宋体"/>
          <w:b/>
          <w:sz w:val="24"/>
        </w:rPr>
        <w:t>（一）</w:t>
      </w:r>
      <w:r>
        <w:rPr>
          <w:rFonts w:hint="eastAsia" w:ascii="宋体" w:hAnsi="宋体"/>
          <w:b/>
          <w:bCs/>
          <w:sz w:val="24"/>
        </w:rPr>
        <w:t>招标代理服务工作内容及要求</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1、按《工程建设项目施工招标投标办法》规定，招标代理主要工作内容：</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①拟订招标方案；</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②招标申请与协调；</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③审查投标人资格；</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④编制工程量清单及预算（标底）；</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⑤编制和出售施工资格预审文件、招标文件；</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⑥组织投标人踏勘现场，答疑澄清；</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⑦接受投标，组织开标、评标，协助定标；</w:t>
      </w:r>
    </w:p>
    <w:p>
      <w:pPr>
        <w:autoSpaceDE w:val="0"/>
        <w:autoSpaceDN w:val="0"/>
        <w:adjustRightInd w:val="0"/>
        <w:spacing w:line="500" w:lineRule="exact"/>
        <w:ind w:firstLine="480" w:firstLineChars="200"/>
        <w:jc w:val="left"/>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8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⑧</w:t>
      </w:r>
      <w:r>
        <w:rPr>
          <w:rFonts w:ascii="宋体" w:hAnsi="宋体"/>
          <w:sz w:val="24"/>
        </w:rPr>
        <w:fldChar w:fldCharType="end"/>
      </w:r>
      <w:r>
        <w:rPr>
          <w:rFonts w:hint="eastAsia" w:ascii="宋体" w:hAnsi="宋体"/>
          <w:sz w:val="24"/>
        </w:rPr>
        <w:t>草拟合同；</w:t>
      </w:r>
    </w:p>
    <w:p>
      <w:pPr>
        <w:autoSpaceDE w:val="0"/>
        <w:autoSpaceDN w:val="0"/>
        <w:adjustRightInd w:val="0"/>
        <w:spacing w:line="500" w:lineRule="exact"/>
        <w:ind w:firstLine="480" w:firstLineChars="200"/>
        <w:jc w:val="left"/>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9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⑨</w:t>
      </w:r>
      <w:r>
        <w:rPr>
          <w:rFonts w:ascii="宋体" w:hAnsi="宋体"/>
          <w:sz w:val="24"/>
        </w:rPr>
        <w:fldChar w:fldCharType="end"/>
      </w:r>
      <w:r>
        <w:rPr>
          <w:rFonts w:hint="eastAsia" w:ascii="宋体" w:hAnsi="宋体"/>
          <w:sz w:val="24"/>
        </w:rPr>
        <w:t>招标人委托的其他事项。</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2、其他相关说明及要求：</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①审查投标人资格包括：组织资格审查委员会或评标委员会，根据资格预审文件或招标文件，采用资格预审或后审的方式审查潜在投标人或投标人资格，确定潜在投标人或投标人工作；</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②工程量清单编制要求：根据施工图纸、《建设工程工程量清单计价规范》，参照相关的工程预算定额、工程量计算规则、施工费用计算规则、市场价格等情况编制工程量清单，要求在提供清单的同时提供预算书；</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③组织投标人踏勘现场，答疑澄清：组织投标人踏勘现场，收集投标人提出的问题，编制答疑会议纪要或补遗文件，发给所有招标文件的收受人。</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④招标完成后应及时编制招标投标情况书面报告，整理招标投标资料汇编，及时报发包人备案；</w:t>
      </w:r>
    </w:p>
    <w:p>
      <w:pPr>
        <w:autoSpaceDE w:val="0"/>
        <w:autoSpaceDN w:val="0"/>
        <w:adjustRightInd w:val="0"/>
        <w:spacing w:line="500" w:lineRule="exact"/>
        <w:ind w:firstLine="480" w:firstLineChars="200"/>
        <w:jc w:val="left"/>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5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hint="eastAsia" w:ascii="宋体" w:hAnsi="宋体"/>
          <w:sz w:val="24"/>
        </w:rPr>
        <w:t>及时完成中标通知书备案、施工图纸的收回；</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⑥招标相关资料均需加盖相应的资质章、资格章、执业章；</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⑦与项目招标有关的其他事项。</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3、为招标人提供的为完成招标工作的相关咨询服务：招标投标程序咨询、合同咨询。</w:t>
      </w:r>
    </w:p>
    <w:p>
      <w:pPr>
        <w:autoSpaceDE w:val="0"/>
        <w:autoSpaceDN w:val="0"/>
        <w:adjustRightInd w:val="0"/>
        <w:spacing w:line="500" w:lineRule="exact"/>
        <w:ind w:firstLine="472" w:firstLineChars="197"/>
        <w:rPr>
          <w:rFonts w:hint="eastAsia" w:ascii="宋体" w:hAnsi="宋体"/>
          <w:sz w:val="24"/>
        </w:rPr>
      </w:pPr>
      <w:r>
        <w:rPr>
          <w:rFonts w:hint="eastAsia" w:ascii="宋体" w:hAnsi="宋体"/>
          <w:sz w:val="24"/>
        </w:rPr>
        <w:t>4、承担并支付以下费用：招标投标中心场地租用费、信息发布费、资料费、评标专家费、招标文件及工程量清单编制费、预算编制费。</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5、在收到施工图纸后按招标人要求的时间编制完成工程量清单报招标人审核，并在审核后5天内完成清单及招标文件的备案。在接到项目代理通知后，代理单位应立即创造条件开展招标工作，招标前期资料不齐时，需积极想办法先行发布招标信息，尽量缩短招标时间。</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6、在工程的招标代理中，必须严格按照《中华人民共和国招标投标法》、</w:t>
      </w:r>
      <w:r>
        <w:rPr>
          <w:rFonts w:hAnsi="宋体"/>
          <w:sz w:val="24"/>
        </w:rPr>
        <w:t>《中华人民共和国招标投标法实施条例》、</w:t>
      </w:r>
      <w:r>
        <w:rPr>
          <w:rFonts w:hint="eastAsia" w:ascii="宋体" w:hAnsi="宋体"/>
          <w:sz w:val="24"/>
        </w:rPr>
        <w:t>《嘉兴市建设工程招标投标实施办法》等有关法律、法规等进行规范操作。招标代理机构人员不得与所负责招标代理的项目的所有投标人有任何经济利害关系。</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7、在坚持公开、公平、公正、择优的原则基础上，必须始终维护招标人权益。</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8、组织思想品德好、综合能力强，且招标经验丰富的项目班子，以确保招标工作的顺利完成。</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9、加强协调工作，各项招标工作必须满足所要招标项目的要求。</w:t>
      </w:r>
    </w:p>
    <w:p>
      <w:pPr>
        <w:spacing w:line="500" w:lineRule="exact"/>
        <w:ind w:firstLine="482" w:firstLineChars="200"/>
        <w:rPr>
          <w:rFonts w:hint="eastAsia" w:ascii="宋体" w:hAnsi="宋体"/>
          <w:b/>
          <w:bCs/>
          <w:sz w:val="24"/>
        </w:rPr>
      </w:pPr>
      <w:r>
        <w:rPr>
          <w:rFonts w:hint="eastAsia" w:ascii="宋体" w:hAnsi="宋体"/>
          <w:b/>
          <w:bCs/>
          <w:sz w:val="24"/>
        </w:rPr>
        <w:t>（二）造价咨询服务工作内容及要求</w:t>
      </w:r>
    </w:p>
    <w:p>
      <w:pPr>
        <w:autoSpaceDE w:val="0"/>
        <w:autoSpaceDN w:val="0"/>
        <w:adjustRightInd w:val="0"/>
        <w:spacing w:line="500" w:lineRule="exact"/>
        <w:ind w:firstLine="480" w:firstLineChars="200"/>
        <w:jc w:val="left"/>
        <w:rPr>
          <w:rFonts w:hint="eastAsia" w:ascii="宋体" w:hAnsi="宋体"/>
          <w:sz w:val="24"/>
        </w:rPr>
      </w:pPr>
      <w:r>
        <w:rPr>
          <w:rFonts w:hint="eastAsia" w:ascii="宋体" w:hAnsi="宋体"/>
          <w:sz w:val="24"/>
        </w:rPr>
        <w:t>1、工程造价咨询服务主要工作内容：</w:t>
      </w:r>
    </w:p>
    <w:p>
      <w:pPr>
        <w:spacing w:line="500" w:lineRule="exact"/>
        <w:ind w:firstLine="480" w:firstLineChars="200"/>
        <w:rPr>
          <w:rFonts w:hint="eastAsia" w:ascii="宋体" w:hAnsi="宋体"/>
          <w:sz w:val="24"/>
        </w:rPr>
      </w:pPr>
      <w:r>
        <w:rPr>
          <w:rFonts w:hint="eastAsia" w:ascii="宋体" w:hAnsi="宋体"/>
          <w:sz w:val="24"/>
        </w:rPr>
        <w:t>（1）工程结算审核</w:t>
      </w:r>
    </w:p>
    <w:p>
      <w:pPr>
        <w:spacing w:line="500" w:lineRule="exact"/>
        <w:ind w:firstLine="480" w:firstLineChars="200"/>
        <w:rPr>
          <w:rFonts w:hint="eastAsia" w:ascii="宋体" w:hAnsi="宋体"/>
          <w:sz w:val="24"/>
        </w:rPr>
      </w:pPr>
      <w:r>
        <w:rPr>
          <w:rFonts w:hint="eastAsia" w:ascii="宋体" w:hAnsi="宋体"/>
          <w:sz w:val="24"/>
        </w:rPr>
        <w:t>①根据工程合同相应的建设工程法律、法规、标准规范与工程计价依据、招投标文件、施工图纸、现场发生的各项有效证明审核工程造价；</w:t>
      </w:r>
    </w:p>
    <w:p>
      <w:pPr>
        <w:spacing w:line="500" w:lineRule="exact"/>
        <w:ind w:firstLine="480" w:firstLineChars="200"/>
        <w:rPr>
          <w:rFonts w:hint="eastAsia" w:ascii="宋体" w:hAnsi="宋体"/>
          <w:sz w:val="24"/>
        </w:rPr>
      </w:pPr>
      <w:r>
        <w:rPr>
          <w:rFonts w:hint="eastAsia" w:ascii="宋体" w:hAnsi="宋体"/>
          <w:sz w:val="24"/>
        </w:rPr>
        <w:t>②现场踏勘、计量复核；</w:t>
      </w:r>
    </w:p>
    <w:p>
      <w:pPr>
        <w:spacing w:line="500" w:lineRule="exact"/>
        <w:ind w:firstLine="480" w:firstLineChars="200"/>
        <w:rPr>
          <w:rFonts w:hint="eastAsia" w:ascii="宋体" w:hAnsi="宋体"/>
          <w:sz w:val="24"/>
        </w:rPr>
      </w:pPr>
      <w:r>
        <w:rPr>
          <w:rFonts w:hint="eastAsia" w:ascii="宋体" w:hAnsi="宋体"/>
          <w:sz w:val="24"/>
        </w:rPr>
        <w:t>③工程量、工程要素价格及各类项目费用进行审核确定；</w:t>
      </w:r>
    </w:p>
    <w:p>
      <w:pPr>
        <w:spacing w:line="500" w:lineRule="exact"/>
        <w:ind w:firstLine="480" w:firstLineChars="200"/>
        <w:rPr>
          <w:rFonts w:hint="eastAsia" w:ascii="宋体" w:hAnsi="宋体"/>
          <w:sz w:val="24"/>
        </w:rPr>
      </w:pPr>
      <w:r>
        <w:rPr>
          <w:rFonts w:hint="eastAsia" w:ascii="宋体" w:hAnsi="宋体"/>
          <w:sz w:val="24"/>
        </w:rPr>
        <w:t>④编制工程结算审核报告。</w:t>
      </w:r>
    </w:p>
    <w:p>
      <w:pPr>
        <w:spacing w:line="500" w:lineRule="exact"/>
        <w:ind w:firstLine="480" w:firstLineChars="200"/>
        <w:rPr>
          <w:rFonts w:hint="eastAsia" w:ascii="宋体" w:hAnsi="宋体"/>
          <w:sz w:val="24"/>
        </w:rPr>
      </w:pPr>
      <w:r>
        <w:rPr>
          <w:rFonts w:hint="eastAsia" w:ascii="宋体" w:hAnsi="宋体"/>
          <w:sz w:val="24"/>
        </w:rPr>
        <w:t>（2）工程预算编制、预算审核</w:t>
      </w:r>
    </w:p>
    <w:p>
      <w:pPr>
        <w:spacing w:line="500" w:lineRule="exact"/>
        <w:ind w:firstLine="480" w:firstLineChars="200"/>
        <w:rPr>
          <w:rFonts w:hint="eastAsia" w:ascii="宋体" w:hAnsi="宋体"/>
          <w:sz w:val="24"/>
        </w:rPr>
      </w:pPr>
      <w:r>
        <w:rPr>
          <w:rFonts w:hint="eastAsia" w:ascii="宋体" w:hAnsi="宋体"/>
          <w:sz w:val="24"/>
        </w:rPr>
        <w:t>根据国家有关法律、法规和标准规范以及施工图纸文件、工程计价依据、工程量计算规则、各种措施费、市场要素价格等编制或审核预算，编制工程造价咨询报告。</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（3）参与提供造价咨询服务的工程合同谈判，谈判过程中做好咨询报告的解释工作。</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2、单项工程变更联系单审核（评审意见）须在收到送审资料后5天内（具体按本次招标承诺时间）编制完成咨询意见；零星工程结算审核及其他预算审核须在收到送审资料后10天内（具体按本次招标承诺时间）编制完成咨询报告初稿；上述咨询项目若发现资料不齐时，应在收到资料后3天内向招标人提出，并明确相关资料要求。</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3、在工程造价咨询服务过程中，必须严格按照《浙江省建设工程造价咨询执业操作规程》及嘉兴市建设工程造价的有关法律、法规等进行规范操作。</w:t>
      </w:r>
    </w:p>
    <w:p>
      <w:pPr>
        <w:pStyle w:val="10"/>
        <w:spacing w:line="360" w:lineRule="auto"/>
        <w:ind w:left="0" w:leftChars="0" w:firstLine="480" w:firstLineChars="200"/>
        <w:rPr>
          <w:rFonts w:hint="eastAsia" w:ascii="宋体" w:hAnsi="宋体"/>
          <w:sz w:val="24"/>
        </w:rPr>
      </w:pPr>
      <w:r>
        <w:rPr>
          <w:rFonts w:hint="eastAsia" w:ascii="宋体" w:hAnsi="宋体"/>
          <w:sz w:val="24"/>
        </w:rPr>
        <w:t>4、组织思想品德好、综合能力强且经验丰富的咨询人员，咨询工作开展过程中若碰到问题需招标人协调的，需向招标人及时反映，并加强主动性、积极性及协调能力，以确保咨询工作的顺利完成。</w:t>
      </w:r>
    </w:p>
    <w:p>
      <w:pPr>
        <w:spacing w:line="500" w:lineRule="exact"/>
        <w:ind w:firstLine="482" w:firstLineChars="200"/>
        <w:rPr>
          <w:rFonts w:hint="eastAsia" w:ascii="宋体" w:hAnsi="宋体"/>
          <w:b/>
          <w:sz w:val="24"/>
        </w:rPr>
      </w:pPr>
      <w:r>
        <w:rPr>
          <w:rFonts w:hint="eastAsia" w:ascii="宋体" w:hAnsi="宋体"/>
          <w:b/>
          <w:sz w:val="24"/>
        </w:rPr>
        <w:t>四、服务项目安排</w:t>
      </w:r>
    </w:p>
    <w:p>
      <w:pPr>
        <w:autoSpaceDE w:val="0"/>
        <w:autoSpaceDN w:val="0"/>
        <w:adjustRightInd w:val="0"/>
        <w:spacing w:line="500" w:lineRule="exact"/>
        <w:ind w:firstLine="540"/>
        <w:rPr>
          <w:rFonts w:hint="eastAsia" w:ascii="宋体" w:hAnsi="宋体" w:cs="宋体"/>
          <w:sz w:val="24"/>
        </w:rPr>
      </w:pPr>
      <w:r>
        <w:rPr>
          <w:rFonts w:hint="eastAsia" w:ascii="宋体" w:hAnsi="宋体" w:cs="宋体"/>
          <w:sz w:val="24"/>
        </w:rPr>
        <w:t>服务安排由委托人自行选择，各入围单位需无条件服从，不得干涉，否则视为自动放弃。</w:t>
      </w:r>
    </w:p>
    <w:p>
      <w:pPr>
        <w:autoSpaceDE w:val="0"/>
        <w:autoSpaceDN w:val="0"/>
        <w:adjustRightInd w:val="0"/>
        <w:spacing w:line="500" w:lineRule="exact"/>
        <w:ind w:firstLine="540"/>
        <w:rPr>
          <w:rFonts w:hint="eastAsia" w:ascii="仿宋_GB2312" w:hAnsi="宋体"/>
          <w:b/>
          <w:bCs/>
          <w:sz w:val="24"/>
          <w:lang w:val="zh-CN"/>
        </w:rPr>
      </w:pPr>
      <w:r>
        <w:rPr>
          <w:rFonts w:hint="eastAsia" w:ascii="仿宋_GB2312" w:hAnsi="宋体"/>
          <w:b/>
          <w:bCs/>
          <w:sz w:val="24"/>
          <w:lang w:val="zh-CN"/>
        </w:rPr>
        <w:t>五、服务报酬与支付方式</w:t>
      </w:r>
    </w:p>
    <w:p>
      <w:pPr>
        <w:autoSpaceDE w:val="0"/>
        <w:autoSpaceDN w:val="0"/>
        <w:adjustRightInd w:val="0"/>
        <w:spacing w:line="360" w:lineRule="auto"/>
        <w:ind w:firstLine="540"/>
        <w:rPr>
          <w:rFonts w:hint="eastAsia" w:ascii="宋体" w:hAnsi="宋体"/>
          <w:sz w:val="24"/>
          <w:u w:val="single"/>
          <w:lang w:val="zh-CN"/>
        </w:rPr>
      </w:pPr>
      <w:r>
        <w:rPr>
          <w:rFonts w:hint="eastAsia" w:ascii="宋体" w:hAnsi="宋体"/>
          <w:sz w:val="24"/>
        </w:rPr>
        <w:t>1、</w:t>
      </w:r>
      <w:r>
        <w:rPr>
          <w:rFonts w:hint="eastAsia" w:ascii="宋体" w:hAnsi="宋体"/>
          <w:sz w:val="24"/>
          <w:lang w:val="zh-CN"/>
        </w:rPr>
        <w:t xml:space="preserve"> 服务报酬的计算方法：</w:t>
      </w:r>
    </w:p>
    <w:p>
      <w:pPr>
        <w:spacing w:line="360" w:lineRule="auto"/>
        <w:ind w:firstLine="480" w:firstLineChars="200"/>
        <w:rPr>
          <w:rFonts w:hint="eastAsia" w:ascii="宋体" w:hAnsi="宋体"/>
          <w:sz w:val="24"/>
        </w:rPr>
      </w:pPr>
      <w:r>
        <w:rPr>
          <w:rFonts w:hint="eastAsia" w:ascii="宋体" w:hAnsi="宋体"/>
          <w:sz w:val="24"/>
        </w:rPr>
        <w:t>1.1代理报酬：</w:t>
      </w:r>
      <w:r>
        <w:rPr>
          <w:rFonts w:ascii="宋体" w:hAnsi="宋体"/>
          <w:sz w:val="24"/>
          <w:lang w:val="zh-CN"/>
        </w:rPr>
        <w:t>招标项目</w:t>
      </w:r>
      <w:r>
        <w:rPr>
          <w:rFonts w:hint="eastAsia" w:ascii="宋体" w:hAnsi="宋体"/>
          <w:sz w:val="24"/>
          <w:lang w:val="zh-CN"/>
        </w:rPr>
        <w:t>按《招标代理服务收费管理暂行办法》（计价格</w:t>
      </w:r>
      <w:r>
        <w:rPr>
          <w:rFonts w:hint="eastAsia" w:ascii="宋体" w:hAnsi="宋体"/>
          <w:sz w:val="24"/>
        </w:rPr>
        <w:t>[</w:t>
      </w:r>
      <w:r>
        <w:rPr>
          <w:rFonts w:hint="eastAsia" w:ascii="宋体" w:hAnsi="宋体"/>
          <w:sz w:val="24"/>
          <w:lang w:val="zh-CN"/>
        </w:rPr>
        <w:t>2002</w:t>
      </w:r>
      <w:r>
        <w:rPr>
          <w:rFonts w:hint="eastAsia" w:ascii="宋体" w:hAnsi="宋体"/>
          <w:sz w:val="24"/>
        </w:rPr>
        <w:t>]</w:t>
      </w:r>
      <w:r>
        <w:rPr>
          <w:rFonts w:hint="eastAsia" w:ascii="宋体" w:hAnsi="宋体"/>
          <w:sz w:val="24"/>
          <w:lang w:val="zh-CN"/>
        </w:rPr>
        <w:t>1980号）收费标准的</w:t>
      </w:r>
      <w:r>
        <w:rPr>
          <w:rFonts w:hint="eastAsia" w:ascii="宋体" w:hAnsi="宋体"/>
          <w:sz w:val="24"/>
          <w:u w:val="single"/>
          <w:lang w:val="zh-CN"/>
        </w:rPr>
        <w:t xml:space="preserve">    </w:t>
      </w:r>
      <w:r>
        <w:rPr>
          <w:rFonts w:hint="eastAsia" w:ascii="宋体" w:hAnsi="宋体"/>
          <w:sz w:val="24"/>
        </w:rPr>
        <w:t>%计取，</w:t>
      </w:r>
      <w:r>
        <w:rPr>
          <w:rFonts w:hint="eastAsia" w:ascii="宋体" w:hAnsi="宋体"/>
          <w:sz w:val="24"/>
          <w:lang w:val="en-US" w:eastAsia="zh-CN"/>
        </w:rPr>
        <w:t>单个项目保底收费</w:t>
      </w:r>
      <w:r>
        <w:rPr>
          <w:rFonts w:hint="eastAsia" w:ascii="宋体" w:hAnsi="宋体"/>
          <w:sz w:val="24"/>
          <w:u w:val="single"/>
        </w:rPr>
        <w:t xml:space="preserve">        </w:t>
      </w:r>
      <w:r>
        <w:rPr>
          <w:rFonts w:hint="eastAsia" w:ascii="宋体" w:hAnsi="宋体"/>
          <w:sz w:val="24"/>
          <w:lang w:val="en-US" w:eastAsia="zh-CN"/>
        </w:rPr>
        <w:t>元</w:t>
      </w:r>
      <w:r>
        <w:rPr>
          <w:rFonts w:hint="eastAsia" w:ascii="宋体" w:hAnsi="宋体"/>
          <w:sz w:val="24"/>
        </w:rPr>
        <w:t>；</w:t>
      </w:r>
    </w:p>
    <w:p>
      <w:pPr>
        <w:tabs>
          <w:tab w:val="left" w:pos="180"/>
          <w:tab w:val="left" w:pos="540"/>
        </w:tabs>
        <w:spacing w:line="500" w:lineRule="exact"/>
        <w:ind w:firstLine="420" w:firstLineChars="175"/>
        <w:rPr>
          <w:rFonts w:hint="eastAsia" w:ascii="宋体" w:hAnsi="宋体"/>
          <w:sz w:val="24"/>
        </w:rPr>
      </w:pPr>
      <w:r>
        <w:rPr>
          <w:rFonts w:hint="eastAsia" w:ascii="宋体" w:hAnsi="宋体"/>
          <w:sz w:val="24"/>
        </w:rPr>
        <w:t>1.2造价咨询报酬：服务项目按《浙江省物价局关于进一步完善工程造价咨询服务收费的通知》（浙价服[2009]84号）收费标准的</w:t>
      </w:r>
      <w:r>
        <w:rPr>
          <w:rFonts w:hint="eastAsia" w:ascii="宋体" w:hAnsi="宋体"/>
          <w:sz w:val="24"/>
          <w:u w:val="single"/>
          <w:lang w:val="zh-CN"/>
        </w:rPr>
        <w:t xml:space="preserve">    </w:t>
      </w:r>
      <w:r>
        <w:rPr>
          <w:rFonts w:hint="eastAsia" w:ascii="宋体" w:hAnsi="宋体"/>
          <w:sz w:val="24"/>
        </w:rPr>
        <w:t>%计取，</w:t>
      </w:r>
      <w:r>
        <w:rPr>
          <w:rFonts w:hint="eastAsia" w:ascii="宋体" w:hAnsi="宋体"/>
          <w:sz w:val="24"/>
          <w:lang w:val="en-US" w:eastAsia="zh-CN"/>
        </w:rPr>
        <w:t>单个项目保底收费</w:t>
      </w:r>
      <w:r>
        <w:rPr>
          <w:rFonts w:hint="eastAsia" w:ascii="宋体" w:hAnsi="宋体"/>
          <w:sz w:val="24"/>
          <w:u w:val="single"/>
        </w:rPr>
        <w:t xml:space="preserve">        </w:t>
      </w:r>
      <w:r>
        <w:rPr>
          <w:rFonts w:hint="eastAsia" w:ascii="宋体" w:hAnsi="宋体"/>
          <w:sz w:val="24"/>
          <w:lang w:val="en-US" w:eastAsia="zh-CN"/>
        </w:rPr>
        <w:t>元</w:t>
      </w:r>
      <w:r>
        <w:rPr>
          <w:rFonts w:hint="eastAsia" w:ascii="宋体" w:hAnsi="宋体"/>
          <w:sz w:val="24"/>
        </w:rPr>
        <w:t>。咨询服务计算基数分类如下：</w:t>
      </w:r>
    </w:p>
    <w:p>
      <w:pPr>
        <w:tabs>
          <w:tab w:val="left" w:pos="180"/>
          <w:tab w:val="left" w:pos="540"/>
        </w:tabs>
        <w:spacing w:line="500" w:lineRule="exact"/>
        <w:ind w:firstLine="420" w:firstLineChars="175"/>
        <w:rPr>
          <w:rFonts w:hint="eastAsia" w:ascii="宋体" w:hAnsi="宋体"/>
          <w:sz w:val="24"/>
        </w:rPr>
      </w:pPr>
      <w:r>
        <w:rPr>
          <w:rFonts w:hint="eastAsia" w:ascii="宋体" w:hAnsi="宋体"/>
          <w:sz w:val="24"/>
        </w:rPr>
        <w:t>（1）业主方在服务期内委托的</w:t>
      </w:r>
      <w:r>
        <w:rPr>
          <w:rFonts w:ascii="宋体" w:hAnsi="宋体"/>
          <w:sz w:val="24"/>
        </w:rPr>
        <w:t>项目</w:t>
      </w:r>
      <w:r>
        <w:rPr>
          <w:rFonts w:hint="eastAsia" w:ascii="宋体" w:hAnsi="宋体"/>
          <w:sz w:val="24"/>
        </w:rPr>
        <w:t>变更联系单审核（评审意见）费用：由原招标代理的项目</w:t>
      </w:r>
      <w:r>
        <w:rPr>
          <w:rFonts w:ascii="宋体" w:hAnsi="宋体"/>
          <w:sz w:val="24"/>
        </w:rPr>
        <w:t>不再另行收费</w:t>
      </w:r>
      <w:r>
        <w:rPr>
          <w:rFonts w:hint="eastAsia" w:ascii="宋体" w:hAnsi="宋体"/>
          <w:sz w:val="24"/>
        </w:rPr>
        <w:t xml:space="preserve">；非原招标代理的项目按收费标准中“工程结算审核”基本收费类别； </w:t>
      </w:r>
    </w:p>
    <w:p>
      <w:pPr>
        <w:tabs>
          <w:tab w:val="left" w:pos="180"/>
          <w:tab w:val="left" w:pos="540"/>
        </w:tabs>
        <w:spacing w:line="360" w:lineRule="auto"/>
        <w:ind w:firstLine="420" w:firstLineChars="175"/>
        <w:rPr>
          <w:rFonts w:hint="eastAsia" w:ascii="宋体" w:hAnsi="宋体"/>
          <w:sz w:val="24"/>
        </w:rPr>
      </w:pPr>
      <w:r>
        <w:rPr>
          <w:rFonts w:hint="eastAsia" w:ascii="宋体" w:hAnsi="宋体"/>
          <w:sz w:val="24"/>
        </w:rPr>
        <w:t>（2）业主方在服务期内委托的零星工程结算审核以及其他另行委托的预算编制、预算审核：咨询服务费以1份报告为1个单位，计费基数按报告内送审价或工程造价的合计数计算。工程结算审核的追加费用由各咨询单位向施工单位自行收取。</w:t>
      </w:r>
    </w:p>
    <w:p>
      <w:pPr>
        <w:tabs>
          <w:tab w:val="left" w:pos="180"/>
          <w:tab w:val="left" w:pos="540"/>
        </w:tabs>
        <w:spacing w:line="360" w:lineRule="auto"/>
        <w:ind w:firstLine="420" w:firstLineChars="175"/>
        <w:rPr>
          <w:rFonts w:hint="eastAsia" w:ascii="宋体" w:hAnsi="宋体"/>
          <w:sz w:val="24"/>
        </w:rPr>
      </w:pPr>
      <w:r>
        <w:rPr>
          <w:rFonts w:hint="eastAsia" w:ascii="宋体" w:hAnsi="宋体"/>
          <w:sz w:val="24"/>
        </w:rPr>
        <w:t>（3）业主方在服务期内单独委托的全过程跟踪审计，原则上由原招标代理单位负责，费用按标准收费的</w:t>
      </w:r>
      <w:r>
        <w:rPr>
          <w:rFonts w:ascii="宋体" w:hAnsi="宋体"/>
          <w:sz w:val="24"/>
        </w:rPr>
        <w:t>30</w:t>
      </w:r>
      <w:r>
        <w:rPr>
          <w:rFonts w:hint="eastAsia" w:ascii="宋体" w:hAnsi="宋体"/>
          <w:sz w:val="24"/>
        </w:rPr>
        <w:t>%计取。</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rPr>
        <w:t>2、服务</w:t>
      </w:r>
      <w:r>
        <w:rPr>
          <w:rFonts w:hint="eastAsia" w:ascii="宋体" w:hAnsi="宋体"/>
          <w:sz w:val="24"/>
          <w:lang w:val="zh-CN"/>
        </w:rPr>
        <w:t>报酬的支付方式</w:t>
      </w:r>
    </w:p>
    <w:p>
      <w:pPr>
        <w:pStyle w:val="19"/>
        <w:spacing w:line="360" w:lineRule="auto"/>
        <w:ind w:firstLine="480" w:firstLineChars="200"/>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（1）单个项目的招标代理服务费和造价咨询费（工程量清单和招标控制价编制费）由该项目的中标人支付，在中标通知书发布后收取。</w:t>
      </w:r>
    </w:p>
    <w:p>
      <w:pPr>
        <w:pStyle w:val="19"/>
        <w:spacing w:line="360" w:lineRule="auto"/>
        <w:ind w:firstLine="480" w:firstLineChars="200"/>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（2）单独委托的造价咨询项目，合同签订后以六个月为费用结算周期。结算时，造价咨询单位应先出具六个月内各项单独工程造价咨询服务结算详单，经签字确认后，一次性付清。</w:t>
      </w:r>
    </w:p>
    <w:p>
      <w:pPr>
        <w:pStyle w:val="19"/>
        <w:ind w:firstLine="0"/>
        <w:rPr>
          <w:rFonts w:asciiTheme="minorEastAsia" w:hAnsiTheme="minorEastAsia" w:eastAsiaTheme="minorEastAsia"/>
        </w:rPr>
      </w:pPr>
    </w:p>
    <w:p>
      <w:pPr>
        <w:pStyle w:val="6"/>
        <w:spacing w:line="500" w:lineRule="exact"/>
        <w:ind w:left="0" w:firstLine="537" w:firstLineChars="224"/>
        <w:rPr>
          <w:rFonts w:hint="eastAsia" w:ascii="宋体" w:hAnsi="宋体"/>
          <w:sz w:val="24"/>
          <w:szCs w:val="24"/>
        </w:rPr>
      </w:pPr>
    </w:p>
    <w:p>
      <w:pPr>
        <w:autoSpaceDE w:val="0"/>
        <w:autoSpaceDN w:val="0"/>
        <w:adjustRightInd w:val="0"/>
        <w:spacing w:line="360" w:lineRule="auto"/>
        <w:ind w:firstLine="482" w:firstLineChars="200"/>
        <w:rPr>
          <w:rFonts w:hint="eastAsia" w:ascii="仿宋_GB2312" w:hAnsi="宋体"/>
          <w:b/>
          <w:bCs/>
          <w:sz w:val="24"/>
        </w:rPr>
      </w:pPr>
      <w:r>
        <w:rPr>
          <w:rFonts w:hint="eastAsia" w:ascii="仿宋_GB2312" w:hAnsi="宋体"/>
          <w:b/>
          <w:bCs/>
          <w:sz w:val="24"/>
        </w:rPr>
        <w:t>六、入围单位违约责任</w:t>
      </w:r>
    </w:p>
    <w:p>
      <w:pPr>
        <w:spacing w:line="500" w:lineRule="exact"/>
        <w:ind w:firstLine="480" w:firstLineChars="200"/>
        <w:rPr>
          <w:rFonts w:hint="eastAsia" w:ascii="宋体" w:hAnsi="宋体"/>
          <w:sz w:val="24"/>
        </w:rPr>
      </w:pPr>
      <w:r>
        <w:rPr>
          <w:rFonts w:hint="eastAsia" w:ascii="宋体" w:hAnsi="宋体"/>
          <w:sz w:val="24"/>
        </w:rPr>
        <w:t>1、因工程量清单编制不准确，当单项工程量清单编制误差率超过±10%以上或漏项，且总金额超过施工合同价±2%以上，扣罚所属项目费用的30%，预算审核单位扣罚所属项目费用的60%，预算审核单位暂停委托一轮；</w:t>
      </w:r>
    </w:p>
    <w:p>
      <w:pPr>
        <w:spacing w:line="500" w:lineRule="exact"/>
        <w:ind w:firstLine="480" w:firstLineChars="200"/>
        <w:rPr>
          <w:rFonts w:hint="eastAsia" w:ascii="宋体" w:hAnsi="宋体"/>
          <w:sz w:val="24"/>
        </w:rPr>
      </w:pPr>
      <w:r>
        <w:rPr>
          <w:rFonts w:hint="eastAsia" w:ascii="宋体" w:hAnsi="宋体"/>
          <w:sz w:val="24"/>
        </w:rPr>
        <w:t>2、因工程量清单编制不准确，当单项工程量清单编制误差率超过±20%以上或漏项，且总金额超过施工合同价±5%以上，扣罚所属项目费用的50%，预算审核单位扣罚所属项目费用的100%，预算编制及预算审核单位暂停委托；</w:t>
      </w:r>
    </w:p>
    <w:p>
      <w:pPr>
        <w:spacing w:line="500" w:lineRule="exact"/>
        <w:ind w:firstLine="480" w:firstLineChars="200"/>
        <w:rPr>
          <w:rFonts w:hint="eastAsia" w:ascii="宋体" w:hAnsi="宋体"/>
          <w:sz w:val="24"/>
        </w:rPr>
      </w:pPr>
      <w:r>
        <w:rPr>
          <w:rFonts w:hint="eastAsia" w:ascii="宋体" w:hAnsi="宋体"/>
          <w:sz w:val="24"/>
        </w:rPr>
        <w:t>3、若招标代理机构发生失误导致招标无效、失败等影响工期、勾结外部人员围标串标或对委托人利益造成损害不良影响的，扣罚当次全部项目费用，并暂停委托；</w:t>
      </w:r>
    </w:p>
    <w:p>
      <w:pPr>
        <w:spacing w:line="500" w:lineRule="exact"/>
        <w:ind w:firstLine="480" w:firstLineChars="200"/>
        <w:rPr>
          <w:rFonts w:hint="eastAsia" w:ascii="宋体" w:hAnsi="宋体"/>
          <w:sz w:val="24"/>
        </w:rPr>
      </w:pPr>
      <w:r>
        <w:rPr>
          <w:rFonts w:hint="eastAsia" w:ascii="宋体" w:hAnsi="宋体"/>
          <w:sz w:val="24"/>
        </w:rPr>
        <w:t>4、若招标代理机构发生重大失误，给招标人造成经济损失，扣罚当次全部项目招标代理服务费，暂停委托，还需赔偿招标人损失额10%的损失。</w:t>
      </w:r>
    </w:p>
    <w:p>
      <w:pPr>
        <w:spacing w:line="500" w:lineRule="exact"/>
        <w:ind w:firstLine="480" w:firstLineChars="200"/>
        <w:rPr>
          <w:rFonts w:hint="eastAsia" w:ascii="宋体" w:hAnsi="宋体"/>
          <w:sz w:val="24"/>
        </w:rPr>
      </w:pPr>
      <w:r>
        <w:rPr>
          <w:rFonts w:hint="eastAsia" w:ascii="宋体" w:hAnsi="宋体"/>
          <w:sz w:val="24"/>
        </w:rPr>
        <w:t>5、若发现招标代理机构在预算审核过程中相互串通的，暂停委托。</w:t>
      </w:r>
    </w:p>
    <w:p>
      <w:pPr>
        <w:spacing w:line="500" w:lineRule="exact"/>
        <w:ind w:firstLine="480" w:firstLineChars="200"/>
        <w:rPr>
          <w:rFonts w:ascii="宋体" w:hAnsi="宋体"/>
          <w:sz w:val="24"/>
        </w:rPr>
      </w:pPr>
      <w:r>
        <w:rPr>
          <w:rFonts w:hint="eastAsia" w:ascii="宋体" w:hAnsi="宋体"/>
          <w:sz w:val="24"/>
        </w:rPr>
        <w:t>6、单项工程变更联系单评审须在收到送审资料后5天内（具体按本次招标承诺时间）编制完成咨询意见；零星工程结算审核以及其他另行委托的预算编制、预算审核等造价咨询业务须在收到送审资料后10天内（具体按本次招标承诺时间）编制完成咨询报告初稿；咨询单位达不到上述要求,建设单位将书面函告，并暂停委托其他业务,直至完成相关业务。咨询项目若发现资料不齐时，应在收到资料后3天内向招标人提出，并明确相关资料要求。</w:t>
      </w:r>
    </w:p>
    <w:p>
      <w:pPr>
        <w:autoSpaceDE w:val="0"/>
        <w:autoSpaceDN w:val="0"/>
        <w:adjustRightInd w:val="0"/>
        <w:spacing w:line="500" w:lineRule="exact"/>
        <w:ind w:firstLine="472" w:firstLineChars="196"/>
        <w:rPr>
          <w:rFonts w:hint="eastAsia" w:ascii="宋体" w:hAnsi="宋体"/>
          <w:sz w:val="24"/>
          <w:lang w:val="zh-CN"/>
        </w:rPr>
      </w:pPr>
      <w:r>
        <w:rPr>
          <w:rFonts w:hint="eastAsia" w:ascii="仿宋_GB2312" w:hAnsi="宋体"/>
          <w:b/>
          <w:bCs/>
          <w:sz w:val="24"/>
        </w:rPr>
        <w:t>七、</w:t>
      </w:r>
      <w:r>
        <w:rPr>
          <w:rFonts w:hint="eastAsia" w:ascii="宋体" w:hAnsi="宋体"/>
          <w:sz w:val="24"/>
          <w:lang w:val="zh-CN"/>
        </w:rPr>
        <w:t>争议</w:t>
      </w:r>
    </w:p>
    <w:p>
      <w:pPr>
        <w:autoSpaceDE w:val="0"/>
        <w:autoSpaceDN w:val="0"/>
        <w:adjustRightInd w:val="0"/>
        <w:spacing w:line="520" w:lineRule="exact"/>
        <w:ind w:firstLine="540"/>
        <w:rPr>
          <w:rFonts w:hint="eastAsia" w:ascii="仿宋_GB2312" w:hAnsi="宋体"/>
          <w:sz w:val="24"/>
          <w:lang w:val="zh-CN"/>
        </w:rPr>
      </w:pPr>
      <w:r>
        <w:rPr>
          <w:rFonts w:hint="eastAsia" w:ascii="仿宋_GB2312" w:hAnsi="宋体"/>
          <w:sz w:val="24"/>
          <w:lang w:val="zh-CN"/>
        </w:rPr>
        <w:t>双方约定，凡因执行本协议所发生的与本协议有关的一切争议，当和解或调解不成时，将争议提交</w:t>
      </w:r>
      <w:r>
        <w:rPr>
          <w:rFonts w:hint="eastAsia" w:ascii="仿宋_GB2312" w:hAnsi="宋体"/>
          <w:sz w:val="24"/>
          <w:u w:val="single"/>
          <w:lang w:val="zh-CN"/>
        </w:rPr>
        <w:t xml:space="preserve"> 嘉兴 </w:t>
      </w:r>
      <w:r>
        <w:rPr>
          <w:rFonts w:hint="eastAsia" w:ascii="仿宋_GB2312" w:hAnsi="宋体"/>
          <w:sz w:val="24"/>
          <w:lang w:val="zh-CN"/>
        </w:rPr>
        <w:t>仲裁委员会仲裁。</w:t>
      </w:r>
    </w:p>
    <w:p>
      <w:pPr>
        <w:autoSpaceDE w:val="0"/>
        <w:autoSpaceDN w:val="0"/>
        <w:adjustRightInd w:val="0"/>
        <w:spacing w:line="500" w:lineRule="exact"/>
        <w:ind w:right="100" w:rightChars="50"/>
        <w:rPr>
          <w:rFonts w:hint="eastAsia" w:ascii="仿宋_GB2312" w:hAnsi="宋体"/>
          <w:b/>
          <w:bCs/>
          <w:sz w:val="24"/>
          <w:lang w:val="zh-CN"/>
        </w:rPr>
      </w:pPr>
      <w:r>
        <w:rPr>
          <w:rFonts w:hint="eastAsia" w:ascii="仿宋_GB2312" w:hAnsi="宋体"/>
          <w:b/>
          <w:bCs/>
          <w:sz w:val="24"/>
        </w:rPr>
        <w:t xml:space="preserve">    八、</w:t>
      </w:r>
      <w:r>
        <w:rPr>
          <w:rFonts w:hint="eastAsia" w:ascii="仿宋_GB2312" w:hAnsi="宋体"/>
          <w:b/>
          <w:bCs/>
          <w:sz w:val="24"/>
          <w:lang w:val="zh-CN"/>
        </w:rPr>
        <w:t>合同订立</w:t>
      </w:r>
    </w:p>
    <w:p>
      <w:pPr>
        <w:spacing w:line="360" w:lineRule="auto"/>
        <w:ind w:firstLine="540" w:firstLineChars="225"/>
        <w:rPr>
          <w:rFonts w:hint="eastAsia" w:ascii="仿宋_GB2312" w:hAnsi="宋体"/>
          <w:sz w:val="24"/>
          <w:lang w:val="zh-CN"/>
        </w:rPr>
      </w:pPr>
      <w:r>
        <w:rPr>
          <w:rFonts w:hint="eastAsia" w:ascii="仿宋_GB2312" w:hAnsi="宋体"/>
          <w:sz w:val="24"/>
          <w:lang w:val="zh-CN"/>
        </w:rPr>
        <w:t>合同订立时间：</w:t>
      </w:r>
      <w:r>
        <w:rPr>
          <w:rFonts w:hint="eastAsia" w:ascii="仿宋_GB2312" w:hAnsi="宋体"/>
          <w:sz w:val="24"/>
          <w:lang w:val="en-US" w:eastAsia="zh-CN"/>
        </w:rPr>
        <w:t xml:space="preserve">     </w:t>
      </w:r>
      <w:r>
        <w:rPr>
          <w:rFonts w:hint="eastAsia" w:ascii="仿宋_GB2312" w:hAnsi="宋体"/>
          <w:sz w:val="24"/>
          <w:lang w:val="zh-CN"/>
        </w:rPr>
        <w:t>年   月    日</w:t>
      </w:r>
    </w:p>
    <w:p>
      <w:pPr>
        <w:spacing w:line="360" w:lineRule="auto"/>
        <w:ind w:firstLine="540" w:firstLineChars="225"/>
        <w:rPr>
          <w:rFonts w:hint="eastAsia" w:ascii="宋体" w:hAnsi="宋体"/>
          <w:sz w:val="24"/>
        </w:rPr>
      </w:pPr>
      <w:r>
        <w:rPr>
          <w:rFonts w:hint="eastAsia" w:ascii="宋体" w:hAnsi="宋体"/>
          <w:sz w:val="24"/>
        </w:rPr>
        <w:t>合同订立地点：</w:t>
      </w:r>
      <w:r>
        <w:rPr>
          <w:rFonts w:hint="eastAsia" w:ascii="宋体" w:hAnsi="宋体"/>
          <w:sz w:val="24"/>
          <w:u w:val="single"/>
        </w:rPr>
        <w:t>嘉兴市</w:t>
      </w:r>
    </w:p>
    <w:p>
      <w:pPr>
        <w:autoSpaceDE w:val="0"/>
        <w:autoSpaceDN w:val="0"/>
        <w:adjustRightInd w:val="0"/>
        <w:spacing w:line="500" w:lineRule="exact"/>
        <w:ind w:firstLine="540"/>
        <w:rPr>
          <w:rFonts w:hint="eastAsia" w:ascii="仿宋_GB2312" w:hAnsi="宋体"/>
          <w:b/>
          <w:bCs/>
          <w:sz w:val="24"/>
          <w:lang w:val="zh-CN"/>
        </w:rPr>
      </w:pPr>
      <w:r>
        <w:rPr>
          <w:rFonts w:hint="eastAsia" w:ascii="仿宋_GB2312" w:hAnsi="宋体"/>
          <w:b/>
          <w:bCs/>
          <w:sz w:val="24"/>
          <w:lang w:val="zh-CN"/>
        </w:rPr>
        <w:t>九、合同生效</w:t>
      </w:r>
    </w:p>
    <w:p>
      <w:pPr>
        <w:spacing w:line="360" w:lineRule="auto"/>
        <w:ind w:firstLine="480" w:firstLineChars="200"/>
        <w:rPr>
          <w:rFonts w:hint="eastAsia" w:ascii="宋体" w:hAnsi="宋体"/>
          <w:sz w:val="24"/>
        </w:rPr>
      </w:pPr>
      <w:r>
        <w:rPr>
          <w:rFonts w:hint="eastAsia" w:ascii="宋体" w:hAnsi="宋体"/>
          <w:sz w:val="24"/>
        </w:rPr>
        <w:t>本合同双方约定</w:t>
      </w:r>
      <w:r>
        <w:rPr>
          <w:rFonts w:hint="eastAsia" w:ascii="宋体" w:hAnsi="宋体"/>
          <w:sz w:val="24"/>
          <w:u w:val="single"/>
        </w:rPr>
        <w:t xml:space="preserve"> 盖章、签字</w:t>
      </w:r>
      <w:r>
        <w:rPr>
          <w:rFonts w:hint="eastAsia" w:ascii="宋体" w:hAnsi="宋体"/>
          <w:sz w:val="24"/>
        </w:rPr>
        <w:t>后生效。</w:t>
      </w:r>
    </w:p>
    <w:p>
      <w:pPr>
        <w:autoSpaceDE w:val="0"/>
        <w:autoSpaceDN w:val="0"/>
        <w:adjustRightInd w:val="0"/>
        <w:spacing w:line="360" w:lineRule="auto"/>
        <w:ind w:firstLine="540"/>
        <w:rPr>
          <w:rFonts w:ascii="宋体" w:hAnsi="宋体"/>
          <w:b/>
          <w:bCs/>
          <w:sz w:val="24"/>
          <w:lang w:val="zh-CN"/>
        </w:rPr>
      </w:pPr>
      <w:r>
        <w:rPr>
          <w:rFonts w:hint="eastAsia" w:ascii="宋体" w:hAnsi="宋体"/>
          <w:b/>
          <w:bCs/>
          <w:sz w:val="24"/>
          <w:lang w:val="zh-CN"/>
        </w:rPr>
        <w:t>十、其他</w:t>
      </w:r>
    </w:p>
    <w:p>
      <w:pPr>
        <w:autoSpaceDE w:val="0"/>
        <w:autoSpaceDN w:val="0"/>
        <w:adjustRightInd w:val="0"/>
        <w:spacing w:line="360" w:lineRule="auto"/>
        <w:ind w:firstLine="540"/>
        <w:rPr>
          <w:rFonts w:ascii="宋体" w:hAnsi="宋体"/>
          <w:sz w:val="24"/>
          <w:lang w:val="zh-CN"/>
        </w:rPr>
      </w:pPr>
      <w:r>
        <w:rPr>
          <w:rFonts w:hint="eastAsia" w:ascii="宋体" w:hAnsi="宋体"/>
          <w:sz w:val="24"/>
        </w:rPr>
        <w:t>1、</w:t>
      </w:r>
      <w:r>
        <w:rPr>
          <w:rFonts w:hint="eastAsia" w:ascii="宋体" w:hAnsi="宋体"/>
          <w:sz w:val="24"/>
          <w:lang w:val="zh-CN"/>
        </w:rPr>
        <w:t>合同份数</w:t>
      </w:r>
    </w:p>
    <w:p>
      <w:pPr>
        <w:autoSpaceDE w:val="0"/>
        <w:autoSpaceDN w:val="0"/>
        <w:adjustRightInd w:val="0"/>
        <w:spacing w:line="360" w:lineRule="auto"/>
        <w:ind w:firstLine="540"/>
        <w:rPr>
          <w:rFonts w:hint="eastAsia" w:ascii="宋体" w:hAnsi="宋体"/>
          <w:sz w:val="24"/>
          <w:lang w:val="zh-CN"/>
        </w:rPr>
      </w:pPr>
      <w:r>
        <w:rPr>
          <w:rFonts w:hint="eastAsia" w:ascii="宋体" w:hAnsi="宋体"/>
          <w:sz w:val="24"/>
          <w:lang w:val="zh-CN"/>
        </w:rPr>
        <w:t xml:space="preserve"> 双方约定本合同</w:t>
      </w:r>
      <w:r>
        <w:rPr>
          <w:rFonts w:hint="eastAsia" w:ascii="宋体" w:hAnsi="宋体"/>
          <w:sz w:val="24"/>
          <w:lang w:val="en-US" w:eastAsia="zh-CN"/>
        </w:rPr>
        <w:t>一式肆</w:t>
      </w:r>
      <w:r>
        <w:rPr>
          <w:rFonts w:hint="eastAsia" w:ascii="宋体" w:hAnsi="宋体"/>
          <w:sz w:val="24"/>
          <w:lang w:val="zh-CN"/>
        </w:rPr>
        <w:t>份，其中，委托人</w:t>
      </w:r>
      <w:r>
        <w:rPr>
          <w:rFonts w:hint="eastAsia" w:ascii="宋体" w:hAnsi="宋体"/>
          <w:sz w:val="24"/>
          <w:lang w:val="en-US" w:eastAsia="zh-CN"/>
        </w:rPr>
        <w:t>叁</w:t>
      </w:r>
      <w:r>
        <w:rPr>
          <w:rFonts w:hint="eastAsia" w:ascii="宋体" w:hAnsi="宋体"/>
          <w:sz w:val="24"/>
          <w:lang w:val="zh-CN"/>
        </w:rPr>
        <w:t>份，受托人</w:t>
      </w:r>
      <w:r>
        <w:rPr>
          <w:rFonts w:hint="eastAsia" w:ascii="宋体" w:hAnsi="宋体"/>
          <w:sz w:val="24"/>
        </w:rPr>
        <w:t>壹</w:t>
      </w:r>
      <w:r>
        <w:rPr>
          <w:rFonts w:hint="eastAsia" w:ascii="宋体" w:hAnsi="宋体"/>
          <w:sz w:val="24"/>
          <w:lang w:val="zh-CN"/>
        </w:rPr>
        <w:t>份。</w:t>
      </w:r>
    </w:p>
    <w:p>
      <w:pPr>
        <w:spacing w:line="360" w:lineRule="auto"/>
        <w:ind w:left="6480" w:hanging="6480" w:hangingChars="2700"/>
        <w:rPr>
          <w:rFonts w:hint="eastAsia" w:ascii="宋体" w:hAnsi="宋体"/>
          <w:sz w:val="24"/>
        </w:rPr>
      </w:pPr>
    </w:p>
    <w:p>
      <w:pPr>
        <w:spacing w:line="360" w:lineRule="auto"/>
        <w:ind w:left="6480" w:hanging="6480" w:hangingChars="2700"/>
        <w:rPr>
          <w:rFonts w:hint="eastAsia" w:ascii="宋体" w:hAnsi="宋体"/>
          <w:sz w:val="24"/>
        </w:rPr>
      </w:pPr>
      <w:r>
        <w:rPr>
          <w:rFonts w:hint="eastAsia" w:ascii="宋体" w:hAnsi="宋体"/>
          <w:sz w:val="24"/>
        </w:rPr>
        <w:t xml:space="preserve">委托人（盖章）：                          受托人（盖章）： </w:t>
      </w:r>
    </w:p>
    <w:p>
      <w:pPr>
        <w:spacing w:line="360" w:lineRule="auto"/>
        <w:rPr>
          <w:rFonts w:hint="eastAsia" w:ascii="宋体" w:hAnsi="宋体"/>
          <w:sz w:val="24"/>
        </w:rPr>
      </w:pPr>
      <w:r>
        <w:rPr>
          <w:rFonts w:hint="eastAsia" w:ascii="宋体" w:hAnsi="宋体"/>
          <w:sz w:val="24"/>
        </w:rPr>
        <w:t xml:space="preserve">嘉兴市第一医院                   </w:t>
      </w:r>
    </w:p>
    <w:p>
      <w:pPr>
        <w:spacing w:line="360" w:lineRule="auto"/>
        <w:rPr>
          <w:rFonts w:hint="eastAsia" w:ascii="宋体" w:hAnsi="宋体"/>
          <w:sz w:val="24"/>
        </w:rPr>
      </w:pPr>
      <w:r>
        <w:rPr>
          <w:rFonts w:hint="eastAsia" w:ascii="宋体" w:hAnsi="宋体"/>
          <w:sz w:val="24"/>
        </w:rPr>
        <w:t>法定代表人（签字或盖章）：                法定代表人（签字或盖章）：</w:t>
      </w:r>
    </w:p>
    <w:p>
      <w:pPr>
        <w:spacing w:line="360" w:lineRule="auto"/>
        <w:rPr>
          <w:rFonts w:hint="eastAsia" w:ascii="宋体" w:hAnsi="宋体"/>
          <w:sz w:val="24"/>
        </w:rPr>
      </w:pPr>
      <w:r>
        <w:rPr>
          <w:rFonts w:hint="eastAsia" w:ascii="宋体" w:hAnsi="宋体"/>
          <w:sz w:val="24"/>
        </w:rPr>
        <w:t>授权代理人（签字或盖章）：                授权代理人（签字或盖章）：</w:t>
      </w:r>
    </w:p>
    <w:p>
      <w:pPr>
        <w:spacing w:line="360" w:lineRule="auto"/>
        <w:rPr>
          <w:rFonts w:hint="eastAsia" w:ascii="宋体" w:hAnsi="宋体"/>
          <w:sz w:val="24"/>
        </w:rPr>
      </w:pPr>
      <w:r>
        <w:rPr>
          <w:rFonts w:hint="eastAsia" w:ascii="宋体" w:hAnsi="宋体"/>
          <w:sz w:val="24"/>
        </w:rPr>
        <w:t>单位地址：</w:t>
      </w:r>
      <w:r>
        <w:rPr>
          <w:rFonts w:ascii="宋体" w:hAnsi="宋体"/>
          <w:sz w:val="24"/>
        </w:rPr>
        <w:t xml:space="preserve">                                </w:t>
      </w:r>
      <w:r>
        <w:rPr>
          <w:rFonts w:hint="eastAsia" w:ascii="宋体" w:hAnsi="宋体"/>
          <w:sz w:val="24"/>
        </w:rPr>
        <w:t>单位地址：</w:t>
      </w:r>
    </w:p>
    <w:p>
      <w:pPr>
        <w:spacing w:line="360" w:lineRule="auto"/>
        <w:rPr>
          <w:rFonts w:hint="eastAsia" w:ascii="宋体" w:hAnsi="宋体"/>
          <w:sz w:val="24"/>
        </w:rPr>
      </w:pPr>
      <w:r>
        <w:rPr>
          <w:rFonts w:hint="eastAsia" w:ascii="宋体" w:hAnsi="宋体"/>
          <w:sz w:val="24"/>
        </w:rPr>
        <w:t>邮政编码：</w:t>
      </w:r>
      <w:r>
        <w:rPr>
          <w:rFonts w:hint="eastAsia" w:ascii="宋体" w:hAnsi="宋体"/>
          <w:sz w:val="24"/>
          <w:u w:val="single"/>
        </w:rPr>
        <w:t>314000</w:t>
      </w:r>
      <w:r>
        <w:rPr>
          <w:rFonts w:hint="eastAsia" w:ascii="宋体" w:hAnsi="宋体"/>
          <w:sz w:val="24"/>
        </w:rPr>
        <w:t xml:space="preserve">                         邮政编码：</w:t>
      </w:r>
    </w:p>
    <w:p>
      <w:pPr>
        <w:spacing w:line="360" w:lineRule="auto"/>
        <w:rPr>
          <w:rFonts w:hint="eastAsia" w:ascii="宋体" w:hAnsi="宋体"/>
          <w:sz w:val="24"/>
        </w:rPr>
      </w:pPr>
      <w:r>
        <w:rPr>
          <w:rFonts w:hint="eastAsia" w:ascii="宋体" w:hAnsi="宋体"/>
          <w:sz w:val="24"/>
        </w:rPr>
        <w:t xml:space="preserve">联系电话：               </w:t>
      </w:r>
      <w:r>
        <w:rPr>
          <w:rFonts w:ascii="宋体" w:hAnsi="宋体"/>
          <w:sz w:val="24"/>
        </w:rPr>
        <w:t xml:space="preserve">                </w:t>
      </w:r>
      <w:r>
        <w:rPr>
          <w:rFonts w:hint="eastAsia" w:ascii="宋体" w:hAnsi="宋体"/>
          <w:sz w:val="24"/>
        </w:rPr>
        <w:t>联系电话：</w:t>
      </w:r>
    </w:p>
    <w:p>
      <w:pPr>
        <w:spacing w:line="360" w:lineRule="auto"/>
        <w:rPr>
          <w:rFonts w:hint="eastAsia" w:ascii="宋体" w:hAnsi="宋体"/>
          <w:sz w:val="24"/>
        </w:rPr>
      </w:pPr>
      <w:r>
        <w:rPr>
          <w:rFonts w:hint="eastAsia" w:ascii="宋体" w:hAnsi="宋体"/>
          <w:sz w:val="24"/>
        </w:rPr>
        <w:t xml:space="preserve">传    真：                </w:t>
      </w:r>
      <w:r>
        <w:rPr>
          <w:rFonts w:ascii="宋体" w:hAnsi="宋体"/>
          <w:sz w:val="24"/>
        </w:rPr>
        <w:t xml:space="preserve">               </w:t>
      </w:r>
      <w:r>
        <w:rPr>
          <w:rFonts w:hint="eastAsia" w:ascii="宋体" w:hAnsi="宋体"/>
          <w:sz w:val="24"/>
        </w:rPr>
        <w:t>传    真：</w:t>
      </w:r>
    </w:p>
    <w:p>
      <w:pPr>
        <w:spacing w:line="360" w:lineRule="auto"/>
        <w:rPr>
          <w:rFonts w:hint="eastAsia" w:ascii="宋体" w:hAnsi="宋体"/>
          <w:sz w:val="24"/>
        </w:rPr>
      </w:pPr>
      <w:r>
        <w:rPr>
          <w:rFonts w:hint="eastAsia" w:ascii="宋体" w:hAnsi="宋体"/>
          <w:sz w:val="24"/>
        </w:rPr>
        <w:t>电子信箱：                               电子信箱：</w:t>
      </w:r>
    </w:p>
    <w:p>
      <w:pPr>
        <w:spacing w:line="360" w:lineRule="auto"/>
        <w:rPr>
          <w:rFonts w:hint="eastAsia" w:ascii="宋体" w:hAnsi="宋体"/>
          <w:sz w:val="24"/>
        </w:rPr>
      </w:pPr>
      <w:r>
        <w:rPr>
          <w:rFonts w:hint="eastAsia" w:ascii="宋体" w:hAnsi="宋体"/>
          <w:sz w:val="24"/>
        </w:rPr>
        <w:t xml:space="preserve">开户银行：              </w:t>
      </w:r>
      <w:r>
        <w:rPr>
          <w:rFonts w:ascii="宋体" w:hAnsi="宋体"/>
          <w:sz w:val="24"/>
        </w:rPr>
        <w:t xml:space="preserve">                 </w:t>
      </w:r>
      <w:r>
        <w:rPr>
          <w:rFonts w:hint="eastAsia" w:ascii="宋体" w:hAnsi="宋体"/>
          <w:sz w:val="24"/>
        </w:rPr>
        <w:t xml:space="preserve">开户银行： </w:t>
      </w:r>
    </w:p>
    <w:p>
      <w:pPr>
        <w:spacing w:line="360" w:lineRule="auto"/>
        <w:rPr>
          <w:rFonts w:hint="eastAsia" w:ascii="宋体" w:hAnsi="宋体"/>
          <w:sz w:val="24"/>
        </w:rPr>
      </w:pPr>
      <w:r>
        <w:rPr>
          <w:rFonts w:hint="eastAsia" w:ascii="宋体" w:hAnsi="宋体"/>
          <w:sz w:val="24"/>
        </w:rPr>
        <w:t>帐    号：</w:t>
      </w:r>
      <w:r>
        <w:rPr>
          <w:rFonts w:ascii="宋体" w:hAnsi="宋体"/>
          <w:sz w:val="24"/>
        </w:rPr>
        <w:t xml:space="preserve">                               </w:t>
      </w:r>
      <w:r>
        <w:rPr>
          <w:rFonts w:hint="eastAsia" w:ascii="宋体" w:hAnsi="宋体"/>
          <w:sz w:val="24"/>
        </w:rPr>
        <w:t>帐    号：</w:t>
      </w:r>
    </w:p>
    <w:p>
      <w:pPr>
        <w:rPr>
          <w:rFonts w:ascii="黑体" w:hAnsi="宋体" w:eastAsia="黑体" w:cs="黑体"/>
          <w:sz w:val="30"/>
          <w:szCs w:val="30"/>
        </w:rPr>
      </w:pPr>
      <w:r>
        <w:rPr>
          <w:rFonts w:ascii="黑体" w:hAnsi="宋体" w:eastAsia="黑体" w:cs="黑体"/>
          <w:sz w:val="30"/>
          <w:szCs w:val="30"/>
        </w:rPr>
        <w:br w:type="page"/>
      </w:r>
    </w:p>
    <w:p>
      <w:pPr>
        <w:tabs>
          <w:tab w:val="left" w:pos="2996"/>
        </w:tabs>
        <w:spacing w:line="440" w:lineRule="exact"/>
        <w:ind w:left="13" w:firstLine="562" w:firstLineChars="200"/>
        <w:jc w:val="center"/>
        <w:rPr>
          <w:rFonts w:hint="eastAsia" w:ascii="宋体" w:hAnsi="宋体" w:cs="宋体"/>
          <w:b/>
          <w:bCs/>
          <w:sz w:val="24"/>
        </w:rPr>
      </w:pPr>
      <w:r>
        <w:rPr>
          <w:rFonts w:hint="eastAsia" w:ascii="宋体" w:hAnsi="宋体" w:cs="宋体"/>
          <w:b/>
          <w:bCs/>
          <w:sz w:val="28"/>
          <w:szCs w:val="28"/>
        </w:rPr>
        <w:t>招标人单位廉政协议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370" w:type="dxa"/>
            <w:vAlign w:val="center"/>
          </w:tcPr>
          <w:p>
            <w:pPr>
              <w:snapToGrid w:val="0"/>
              <w:spacing w:line="360" w:lineRule="auto"/>
              <w:rPr>
                <w:rFonts w:hint="eastAsia" w:ascii="宋体" w:hAnsi="宋体" w:cs="宋体"/>
                <w:b/>
                <w:bCs/>
                <w:sz w:val="21"/>
                <w:szCs w:val="21"/>
              </w:rPr>
            </w:pPr>
            <w:r>
              <w:rPr>
                <w:rFonts w:hint="eastAsia" w:ascii="宋体" w:hAnsi="宋体" w:cs="宋体"/>
                <w:sz w:val="21"/>
                <w:szCs w:val="21"/>
              </w:rPr>
              <w:t>招标单位（甲方）：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0" w:type="dxa"/>
            <w:vAlign w:val="center"/>
          </w:tcPr>
          <w:p>
            <w:pPr>
              <w:snapToGrid w:val="0"/>
              <w:spacing w:line="360" w:lineRule="auto"/>
              <w:rPr>
                <w:rFonts w:hint="eastAsia" w:ascii="宋体" w:hAnsi="宋体" w:cs="宋体"/>
                <w:b/>
                <w:bCs/>
                <w:sz w:val="21"/>
                <w:szCs w:val="21"/>
              </w:rPr>
            </w:pPr>
            <w:r>
              <w:rPr>
                <w:rFonts w:hint="eastAsia" w:ascii="宋体" w:hAnsi="宋体" w:cs="宋体"/>
                <w:sz w:val="21"/>
                <w:szCs w:val="21"/>
              </w:rPr>
              <w:t>中标单位（乙方）：</w:t>
            </w:r>
            <w:r>
              <w:rPr>
                <w:rFonts w:hint="eastAsia" w:ascii="宋体" w:hAnsi="宋体" w:cs="宋体"/>
                <w:b/>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sz w:val="21"/>
                <w:szCs w:val="21"/>
              </w:rPr>
              <w:t>项目名称：</w:t>
            </w: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z w:val="21"/>
                <w:szCs w:val="21"/>
              </w:rPr>
              <w:t>中标价：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z w:val="21"/>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z w:val="21"/>
                <w:szCs w:val="21"/>
              </w:rPr>
              <w:t>中标单位项目负责人 ：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z w:val="21"/>
                <w:szCs w:val="21"/>
              </w:rPr>
              <w:t>招标单位项目负责人 ：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pacing w:val="40"/>
                <w:sz w:val="21"/>
                <w:szCs w:val="21"/>
              </w:rPr>
              <w:t>监督部门联系人</w:t>
            </w:r>
            <w:r>
              <w:rPr>
                <w:rFonts w:hint="eastAsia" w:ascii="宋体" w:hAnsi="宋体" w:cs="宋体"/>
                <w:bCs/>
                <w:sz w:val="21"/>
                <w:szCs w:val="21"/>
              </w:rPr>
              <w:t>：                  电话：</w:t>
            </w:r>
          </w:p>
        </w:tc>
      </w:tr>
    </w:tbl>
    <w:p>
      <w:pPr>
        <w:snapToGrid w:val="0"/>
        <w:spacing w:line="360" w:lineRule="auto"/>
        <w:ind w:firstLine="629"/>
        <w:rPr>
          <w:rFonts w:hint="eastAsia" w:ascii="宋体" w:hAnsi="宋体" w:cs="宋体"/>
          <w:sz w:val="21"/>
          <w:szCs w:val="21"/>
        </w:rPr>
      </w:pPr>
      <w:r>
        <w:rPr>
          <w:rFonts w:hint="eastAsia" w:ascii="宋体" w:hAnsi="宋体" w:cs="宋体"/>
          <w:sz w:val="21"/>
          <w:szCs w:val="21"/>
        </w:rPr>
        <w:t>为加强廉政建设，规范双方的各项活动，防止发生各种谋取不正当利益的违法违纪行为，保护国家、集体和当事人的合法权益，根据国家有关法律法规和廉政建设责任制度规定，特签订廉政协议。</w:t>
      </w:r>
    </w:p>
    <w:p>
      <w:pPr>
        <w:snapToGrid w:val="0"/>
        <w:spacing w:line="360" w:lineRule="auto"/>
        <w:ind w:firstLine="630"/>
        <w:rPr>
          <w:rFonts w:hint="eastAsia" w:ascii="宋体" w:hAnsi="宋体" w:cs="宋体"/>
          <w:sz w:val="21"/>
          <w:szCs w:val="21"/>
        </w:rPr>
      </w:pPr>
      <w:r>
        <w:rPr>
          <w:rFonts w:hint="eastAsia" w:ascii="宋体" w:hAnsi="宋体" w:cs="宋体"/>
          <w:sz w:val="21"/>
          <w:szCs w:val="21"/>
        </w:rPr>
        <w:t>第一条  甲、乙双方约定：</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（一）甲、乙双方应共同严格遵守国家和省市以及招标人主管部门关于市场准入、项目招标投标、市场经济活动等有关法律、法规和相关政策，以及项目廉政建设的各项规定。</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（二）甲、乙双方应认真执行双方签订的合同文件，自觉按合同约定履行责任。</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（三）甲、乙双方的业务活动必须坚持公开、公平、公正、诚信、透明的原则（除法律法规另有规定者外）。不得为获取不正当的利益，损害国家、集体和对方利益；不得违反管理相关规章制度。</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（四）甲、乙双方有对本方人员开展廉政告知、廉政教育和职业道德教育的义务。</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（五）甲、乙双方应加强对本方人员廉政监督，建立健全廉政制度，认真严肃查处本方人员违法违纪行为。</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（六）甲、乙双方如发现对方人员在业务活动中有违规、违纪、违法行为的，应及时提醒对方并督促其纠正，或直接向对方法人代表、纪检监察部门及检察机关如实反映情况。</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第二条  乙方的廉政责任</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（一）乙方不得以任何理由向甲方工作人员赠送礼金、有价证券、贵重物品、信用卡及其他支付凭证。</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（二）乙方不得以任何理由或名义向甲方及其工作人员支付回扣、好处费、感谢费等。</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（三）乙方不得以任何理由或名义为甲方及其工作人员报销任何应由甲方个人支付的费用。</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（四）乙方不得以任何理由为甲方及其工作人员购置或长期提供通信工具、交通工具等。</w:t>
      </w:r>
    </w:p>
    <w:p>
      <w:pPr>
        <w:pStyle w:val="13"/>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（五）乙方不得以任何理由为甲方及其工作人员的个人装修住房、婚丧嫁娶、配偶子女的工作安排以及出国（境）、旅游等提供方便。</w:t>
      </w:r>
    </w:p>
    <w:p>
      <w:pPr>
        <w:pStyle w:val="13"/>
        <w:snapToGrid w:val="0"/>
        <w:spacing w:line="360" w:lineRule="auto"/>
        <w:ind w:firstLine="424" w:firstLineChars="202"/>
        <w:rPr>
          <w:rFonts w:hint="eastAsia" w:ascii="宋体" w:hAnsi="宋体" w:cs="宋体"/>
          <w:sz w:val="21"/>
          <w:szCs w:val="21"/>
        </w:rPr>
      </w:pPr>
      <w:r>
        <w:rPr>
          <w:rFonts w:hint="eastAsia" w:ascii="宋体" w:hAnsi="宋体" w:cs="宋体"/>
          <w:sz w:val="21"/>
          <w:szCs w:val="21"/>
        </w:rPr>
        <w:t>（六）乙方不得以任何理由为甲方及其工作人员组织有可能影响公正执行公务的宴请和各类休闲娱乐等活动。</w:t>
      </w:r>
    </w:p>
    <w:p>
      <w:pPr>
        <w:snapToGrid w:val="0"/>
        <w:spacing w:line="360" w:lineRule="auto"/>
        <w:ind w:firstLine="424" w:firstLineChars="202"/>
        <w:rPr>
          <w:rFonts w:hint="eastAsia" w:ascii="宋体" w:hAnsi="宋体" w:cs="宋体"/>
          <w:sz w:val="21"/>
          <w:szCs w:val="21"/>
        </w:rPr>
      </w:pPr>
      <w:r>
        <w:rPr>
          <w:rFonts w:hint="eastAsia" w:ascii="宋体" w:hAnsi="宋体" w:cs="宋体"/>
          <w:sz w:val="21"/>
          <w:szCs w:val="21"/>
        </w:rPr>
        <w:t>（七）乙方及其工作人员必须严格按照有关规程办事，不得与其他单位互相串通，损害甲方利益。</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第三条  违约责任</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（二）乙方贿赂甲方人员的，被纪检监察部门或检察机关立案查处的，甲方有权中止项目合同，由此造成甲方的损失以及一切费用均由乙方承担。</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第四条  本协议的有效期为双方签署之日起至该项目验收合格时止。</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第五条  本协议一式</w:t>
      </w:r>
      <w:r>
        <w:rPr>
          <w:rFonts w:hint="eastAsia" w:ascii="宋体" w:hAnsi="宋体" w:cs="宋体"/>
          <w:sz w:val="21"/>
          <w:szCs w:val="21"/>
          <w:lang w:val="en-US" w:eastAsia="zh-CN"/>
        </w:rPr>
        <w:t>肆</w:t>
      </w:r>
      <w:r>
        <w:rPr>
          <w:rFonts w:hint="eastAsia" w:ascii="宋体" w:hAnsi="宋体" w:cs="宋体"/>
          <w:sz w:val="21"/>
          <w:szCs w:val="21"/>
        </w:rPr>
        <w:t>份，甲方执</w:t>
      </w:r>
      <w:r>
        <w:rPr>
          <w:rFonts w:hint="eastAsia" w:ascii="宋体" w:hAnsi="宋体" w:cs="宋体"/>
          <w:sz w:val="21"/>
          <w:szCs w:val="21"/>
          <w:lang w:val="en-US" w:eastAsia="zh-CN"/>
        </w:rPr>
        <w:t>叁</w:t>
      </w:r>
      <w:r>
        <w:rPr>
          <w:rFonts w:hint="eastAsia" w:ascii="宋体" w:hAnsi="宋体" w:cs="宋体"/>
          <w:sz w:val="21"/>
          <w:szCs w:val="21"/>
        </w:rPr>
        <w:t>份，乙方执</w:t>
      </w:r>
      <w:r>
        <w:rPr>
          <w:rFonts w:hint="eastAsia" w:ascii="宋体" w:hAnsi="宋体" w:cs="宋体"/>
          <w:sz w:val="21"/>
          <w:szCs w:val="21"/>
          <w:lang w:val="en-US" w:eastAsia="zh-CN"/>
        </w:rPr>
        <w:t>壹</w:t>
      </w:r>
      <w:r>
        <w:rPr>
          <w:rFonts w:hint="eastAsia" w:ascii="宋体" w:hAnsi="宋体" w:cs="宋体"/>
          <w:sz w:val="21"/>
          <w:szCs w:val="21"/>
        </w:rPr>
        <w:t>份。</w:t>
      </w:r>
    </w:p>
    <w:p>
      <w:pPr>
        <w:spacing w:line="360" w:lineRule="auto"/>
        <w:rPr>
          <w:rFonts w:hint="eastAsia" w:ascii="宋体" w:hAnsi="宋体" w:cs="宋体"/>
          <w:sz w:val="21"/>
          <w:szCs w:val="21"/>
        </w:rPr>
      </w:pPr>
    </w:p>
    <w:p>
      <w:pPr>
        <w:spacing w:line="360" w:lineRule="auto"/>
        <w:ind w:firstLine="735" w:firstLineChars="350"/>
        <w:rPr>
          <w:rFonts w:hint="eastAsia" w:ascii="宋体" w:hAnsi="宋体" w:cs="宋体"/>
          <w:sz w:val="21"/>
          <w:szCs w:val="21"/>
        </w:rPr>
      </w:pPr>
      <w:r>
        <w:rPr>
          <w:rFonts w:hint="eastAsia" w:ascii="宋体" w:hAnsi="宋体" w:cs="宋体"/>
          <w:sz w:val="21"/>
          <w:szCs w:val="21"/>
        </w:rPr>
        <w:t>甲方单位：（公章）                   乙方单位：（公章）</w:t>
      </w:r>
    </w:p>
    <w:p>
      <w:pPr>
        <w:spacing w:line="360" w:lineRule="auto"/>
        <w:ind w:firstLine="735" w:firstLineChars="350"/>
        <w:rPr>
          <w:rFonts w:hint="eastAsia" w:ascii="宋体" w:hAnsi="宋体" w:cs="宋体"/>
          <w:sz w:val="21"/>
          <w:szCs w:val="21"/>
        </w:rPr>
      </w:pPr>
      <w:r>
        <w:rPr>
          <w:rFonts w:hint="eastAsia" w:ascii="宋体" w:hAnsi="宋体" w:cs="宋体"/>
          <w:sz w:val="21"/>
          <w:szCs w:val="21"/>
        </w:rPr>
        <w:t>甲方代表：                           乙方代表：</w:t>
      </w:r>
    </w:p>
    <w:p>
      <w:pPr>
        <w:spacing w:line="360" w:lineRule="auto"/>
        <w:ind w:firstLine="735" w:firstLineChars="350"/>
        <w:rPr>
          <w:rFonts w:hint="eastAsia" w:ascii="宋体" w:hAnsi="宋体" w:cs="宋体"/>
          <w:sz w:val="21"/>
          <w:szCs w:val="21"/>
        </w:rPr>
      </w:pPr>
      <w:r>
        <w:rPr>
          <w:rFonts w:hint="eastAsia" w:ascii="宋体" w:hAnsi="宋体" w:cs="宋体"/>
          <w:sz w:val="21"/>
          <w:szCs w:val="21"/>
        </w:rPr>
        <w:t>电话：                               电话：</w:t>
      </w:r>
    </w:p>
    <w:p>
      <w:pPr>
        <w:spacing w:line="360" w:lineRule="auto"/>
        <w:ind w:firstLine="735" w:firstLineChars="350"/>
        <w:rPr>
          <w:rFonts w:hint="eastAsia" w:ascii="宋体" w:hAnsi="宋体" w:cs="宋体"/>
          <w:sz w:val="21"/>
          <w:szCs w:val="21"/>
        </w:rPr>
      </w:pPr>
      <w:r>
        <w:rPr>
          <w:rFonts w:hint="eastAsia" w:ascii="宋体" w:hAnsi="宋体" w:cs="宋体"/>
          <w:sz w:val="21"/>
          <w:szCs w:val="21"/>
        </w:rPr>
        <w:t>招标人单位监察部（公章）</w:t>
      </w:r>
    </w:p>
    <w:p>
      <w:pPr>
        <w:spacing w:line="360" w:lineRule="auto"/>
        <w:ind w:firstLine="735" w:firstLineChars="350"/>
        <w:rPr>
          <w:rFonts w:hint="eastAsia" w:ascii="宋体" w:hAnsi="宋体" w:cs="宋体"/>
          <w:sz w:val="21"/>
          <w:szCs w:val="21"/>
        </w:rPr>
      </w:pPr>
      <w:r>
        <w:rPr>
          <w:rFonts w:hint="eastAsia" w:ascii="宋体" w:hAnsi="宋体" w:cs="宋体"/>
          <w:sz w:val="21"/>
          <w:szCs w:val="21"/>
        </w:rPr>
        <w:t>联系电话：</w:t>
      </w:r>
    </w:p>
    <w:p>
      <w:pPr>
        <w:spacing w:line="360" w:lineRule="auto"/>
        <w:rPr>
          <w:rFonts w:hint="eastAsia" w:ascii="宋体" w:hAnsi="宋体" w:cs="宋体"/>
          <w:sz w:val="21"/>
          <w:szCs w:val="21"/>
        </w:rPr>
      </w:pPr>
    </w:p>
    <w:p>
      <w:pPr>
        <w:jc w:val="right"/>
        <w:rPr>
          <w:rFonts w:hint="eastAsia" w:ascii="宋体" w:hAnsi="宋体" w:cs="宋体"/>
          <w:sz w:val="21"/>
          <w:szCs w:val="21"/>
        </w:rPr>
      </w:pPr>
      <w:r>
        <w:rPr>
          <w:rFonts w:hint="eastAsia" w:ascii="宋体" w:hAnsi="宋体" w:cs="宋体"/>
          <w:sz w:val="21"/>
          <w:szCs w:val="21"/>
        </w:rPr>
        <w:t xml:space="preserve">            年     月     日</w:t>
      </w:r>
    </w:p>
    <w:p>
      <w:r>
        <w:br w:type="page"/>
      </w:r>
    </w:p>
    <w:p>
      <w:pPr>
        <w:pStyle w:val="2"/>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sz w:val="30"/>
          <w:lang w:eastAsia="zh-TW"/>
        </w:rPr>
        <w:t>附件</w:t>
      </w:r>
      <w:r>
        <w:rPr>
          <w:rFonts w:hint="eastAsia" w:asciiTheme="minorEastAsia" w:hAnsiTheme="minorEastAsia" w:eastAsiaTheme="minorEastAsia" w:cstheme="minorEastAsia"/>
          <w:sz w:val="30"/>
          <w:lang w:val="en-US" w:eastAsia="zh-CN"/>
        </w:rPr>
        <w:t>一</w:t>
      </w:r>
      <w:r>
        <w:rPr>
          <w:rFonts w:hint="eastAsia" w:asciiTheme="minorEastAsia" w:hAnsiTheme="minorEastAsia" w:eastAsiaTheme="minorEastAsia" w:cstheme="minorEastAsia"/>
          <w:b/>
          <w:sz w:val="30"/>
          <w:lang w:eastAsia="zh-TW"/>
        </w:rPr>
        <w:t>：</w:t>
      </w:r>
      <w:r>
        <w:rPr>
          <w:rFonts w:hint="eastAsia" w:asciiTheme="minorEastAsia" w:hAnsiTheme="minorEastAsia" w:eastAsiaTheme="minorEastAsia" w:cstheme="minorEastAsia"/>
          <w:b/>
          <w:sz w:val="30"/>
        </w:rPr>
        <w:t xml:space="preserve">              </w:t>
      </w:r>
      <w:r>
        <w:rPr>
          <w:rFonts w:hint="eastAsia" w:asciiTheme="minorEastAsia" w:hAnsiTheme="minorEastAsia" w:eastAsiaTheme="minorEastAsia" w:cstheme="minorEastAsia"/>
          <w:b/>
          <w:sz w:val="36"/>
          <w:szCs w:val="36"/>
        </w:rPr>
        <w:t xml:space="preserve">   响应函</w:t>
      </w:r>
    </w:p>
    <w:p>
      <w:pPr>
        <w:spacing w:line="360" w:lineRule="auto"/>
        <w:ind w:left="514" w:leftChars="257" w:firstLine="2880" w:firstLineChars="96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lang w:eastAsia="zh-TW"/>
        </w:rPr>
        <w:t>正本或副本</w:t>
      </w:r>
    </w:p>
    <w:p>
      <w:pPr>
        <w:spacing w:line="360" w:lineRule="auto"/>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sz w:val="28"/>
          <w:szCs w:val="28"/>
        </w:rPr>
        <w:t>致</w:t>
      </w:r>
      <w:r>
        <w:rPr>
          <w:rFonts w:hint="eastAsia" w:asciiTheme="minorEastAsia" w:hAnsiTheme="minorEastAsia" w:eastAsiaTheme="minorEastAsia" w:cstheme="minorEastAsia"/>
          <w:b/>
          <w:bCs/>
          <w:sz w:val="28"/>
          <w:szCs w:val="28"/>
        </w:rPr>
        <w:t>：***医院</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(招标代理机构全称)授权</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（全名、职务）为全权代表，参加贵方组织***医院医疗设备、耗材、信息和服务项目等招标代理服务招标，为此：</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1、提供招标文件中规定须提交的所有内容。</w:t>
      </w:r>
    </w:p>
    <w:p>
      <w:pPr>
        <w:spacing w:line="360" w:lineRule="auto"/>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kern w:val="0"/>
          <w:sz w:val="28"/>
          <w:szCs w:val="28"/>
        </w:rPr>
        <w:t>本响应文件有效期为自响应文件递交之日起</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个日历日。</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3、</w:t>
      </w:r>
      <w:r>
        <w:rPr>
          <w:rFonts w:hint="eastAsia" w:asciiTheme="minorEastAsia" w:hAnsiTheme="minorEastAsia" w:eastAsiaTheme="minorEastAsia" w:cstheme="minorEastAsia"/>
          <w:sz w:val="28"/>
          <w:szCs w:val="28"/>
        </w:rPr>
        <w:t>若招标成功，我方将按招标文件规定履行合同责任和义务。</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4、我方同意提供按照贵方的要求的一切数据或资料，并保证其真实性、合法性。</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5、我方与本次招标有关的一切正式来往通讯请寄：</w:t>
      </w:r>
    </w:p>
    <w:p>
      <w:pPr>
        <w:spacing w:line="360" w:lineRule="auto"/>
        <w:ind w:left="540" w:firstLine="3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邮编：</w:t>
      </w:r>
      <w:r>
        <w:rPr>
          <w:rFonts w:hint="eastAsia" w:asciiTheme="minorEastAsia" w:hAnsiTheme="minorEastAsia" w:eastAsiaTheme="minorEastAsia" w:cstheme="minorEastAsia"/>
          <w:sz w:val="28"/>
          <w:szCs w:val="28"/>
          <w:u w:val="single"/>
        </w:rPr>
        <w:t xml:space="preserve">               </w:t>
      </w:r>
    </w:p>
    <w:p>
      <w:pPr>
        <w:spacing w:line="360" w:lineRule="auto"/>
        <w:ind w:left="540" w:firstLine="3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传真：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pPr>
        <w:spacing w:line="360" w:lineRule="auto"/>
        <w:ind w:left="540" w:firstLine="30"/>
        <w:jc w:val="left"/>
        <w:rPr>
          <w:rFonts w:hint="eastAsia" w:asciiTheme="minorEastAsia" w:hAnsiTheme="minorEastAsia" w:eastAsiaTheme="minorEastAsia" w:cstheme="minorEastAsia"/>
          <w:sz w:val="28"/>
          <w:szCs w:val="28"/>
        </w:rPr>
      </w:pP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招标代理机构单位名称：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（公章）</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招标代理机构代表签字：</w:t>
      </w:r>
      <w:r>
        <w:rPr>
          <w:rFonts w:hint="eastAsia" w:asciiTheme="minorEastAsia" w:hAnsiTheme="minorEastAsia" w:eastAsiaTheme="minorEastAsia" w:cstheme="minorEastAsia"/>
          <w:sz w:val="28"/>
          <w:szCs w:val="28"/>
          <w:u w:val="single"/>
        </w:rPr>
        <w:t xml:space="preserve">                   </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jc w:val="both"/>
        <w:rPr>
          <w:b/>
          <w:sz w:val="28"/>
          <w:szCs w:val="28"/>
        </w:rPr>
      </w:pPr>
      <w:r>
        <w:rPr>
          <w:rFonts w:hint="eastAsia" w:asciiTheme="minorEastAsia" w:hAnsiTheme="minorEastAsia" w:eastAsiaTheme="minorEastAsia" w:cstheme="minorEastAsia"/>
          <w:sz w:val="28"/>
          <w:szCs w:val="28"/>
        </w:rPr>
        <w:br w:type="page"/>
      </w:r>
      <w:r>
        <w:rPr>
          <w:rFonts w:hint="eastAsia" w:hAnsi="宋体"/>
          <w:b/>
          <w:sz w:val="28"/>
          <w:szCs w:val="28"/>
          <w:lang w:val="en-US" w:eastAsia="zh-CN"/>
        </w:rPr>
        <w:t>附件</w:t>
      </w:r>
      <w:r>
        <w:rPr>
          <w:rFonts w:hAnsi="宋体"/>
          <w:b/>
          <w:sz w:val="28"/>
          <w:szCs w:val="28"/>
        </w:rPr>
        <w:t>二</w:t>
      </w:r>
      <w:r>
        <w:rPr>
          <w:b/>
          <w:sz w:val="28"/>
          <w:szCs w:val="28"/>
        </w:rPr>
        <w:t xml:space="preserve"> </w:t>
      </w:r>
      <w:r>
        <w:rPr>
          <w:rFonts w:hint="eastAsia"/>
          <w:b/>
          <w:sz w:val="28"/>
          <w:szCs w:val="28"/>
          <w:lang w:val="en-US" w:eastAsia="zh-CN"/>
        </w:rPr>
        <w:t xml:space="preserve">                </w:t>
      </w:r>
      <w:r>
        <w:rPr>
          <w:b/>
          <w:sz w:val="28"/>
          <w:szCs w:val="28"/>
        </w:rPr>
        <w:t xml:space="preserve">  </w:t>
      </w:r>
      <w:r>
        <w:rPr>
          <w:rFonts w:hint="eastAsia" w:hAnsi="宋体"/>
          <w:b/>
          <w:sz w:val="28"/>
          <w:szCs w:val="28"/>
        </w:rPr>
        <w:t>报价</w:t>
      </w:r>
      <w:r>
        <w:rPr>
          <w:rFonts w:hAnsi="宋体"/>
          <w:b/>
          <w:sz w:val="28"/>
          <w:szCs w:val="28"/>
        </w:rPr>
        <w:t>一览表</w:t>
      </w:r>
    </w:p>
    <w:tbl>
      <w:tblPr>
        <w:tblStyle w:val="15"/>
        <w:tblW w:w="9169" w:type="dxa"/>
        <w:tblInd w:w="288" w:type="dxa"/>
        <w:tblLayout w:type="fixed"/>
        <w:tblCellMar>
          <w:top w:w="0" w:type="dxa"/>
          <w:left w:w="108" w:type="dxa"/>
          <w:bottom w:w="0" w:type="dxa"/>
          <w:right w:w="108" w:type="dxa"/>
        </w:tblCellMar>
      </w:tblPr>
      <w:tblGrid>
        <w:gridCol w:w="703"/>
        <w:gridCol w:w="3306"/>
        <w:gridCol w:w="2160"/>
        <w:gridCol w:w="1597"/>
        <w:gridCol w:w="828"/>
        <w:gridCol w:w="575"/>
      </w:tblGrid>
      <w:tr>
        <w:tblPrEx>
          <w:tblCellMar>
            <w:top w:w="0" w:type="dxa"/>
            <w:left w:w="108" w:type="dxa"/>
            <w:bottom w:w="0" w:type="dxa"/>
            <w:right w:w="108" w:type="dxa"/>
          </w:tblCellMar>
        </w:tblPrEx>
        <w:trPr>
          <w:trHeight w:val="645" w:hRule="atLeast"/>
        </w:trPr>
        <w:tc>
          <w:tcPr>
            <w:tcW w:w="9169" w:type="dxa"/>
            <w:gridSpan w:val="6"/>
            <w:tcBorders>
              <w:top w:val="nil"/>
              <w:left w:val="nil"/>
              <w:bottom w:val="nil"/>
              <w:right w:val="nil"/>
            </w:tcBorders>
            <w:noWrap w:val="0"/>
            <w:vAlign w:val="bottom"/>
          </w:tcPr>
          <w:p>
            <w:pPr>
              <w:widowControl/>
              <w:jc w:val="center"/>
              <w:rPr>
                <w:rFonts w:ascii="宋体" w:hAnsi="宋体" w:cs="宋体"/>
                <w:b/>
                <w:kern w:val="0"/>
                <w:sz w:val="32"/>
                <w:szCs w:val="32"/>
              </w:rPr>
            </w:pPr>
            <w:r>
              <w:rPr>
                <w:rFonts w:hint="eastAsia" w:ascii="宋体" w:hAnsi="宋体" w:cs="宋体"/>
                <w:b/>
                <w:kern w:val="0"/>
                <w:sz w:val="32"/>
                <w:szCs w:val="32"/>
              </w:rPr>
              <w:t>工程招标代理公开招标报价书</w:t>
            </w:r>
          </w:p>
        </w:tc>
      </w:tr>
      <w:tr>
        <w:tblPrEx>
          <w:tblCellMar>
            <w:top w:w="0" w:type="dxa"/>
            <w:left w:w="108" w:type="dxa"/>
            <w:bottom w:w="0" w:type="dxa"/>
            <w:right w:w="108" w:type="dxa"/>
          </w:tblCellMar>
        </w:tblPrEx>
        <w:trPr>
          <w:trHeight w:val="350" w:hRule="atLeast"/>
        </w:trPr>
        <w:tc>
          <w:tcPr>
            <w:tcW w:w="703"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3306"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报价内容</w:t>
            </w:r>
          </w:p>
        </w:tc>
        <w:tc>
          <w:tcPr>
            <w:tcW w:w="5160" w:type="dxa"/>
            <w:gridSpan w:val="4"/>
            <w:tcBorders>
              <w:top w:val="single" w:color="auto" w:sz="8" w:space="0"/>
              <w:left w:val="nil"/>
              <w:bottom w:val="single" w:color="auto" w:sz="4" w:space="0"/>
              <w:right w:val="single" w:color="000000" w:sz="8" w:space="0"/>
            </w:tcBorders>
            <w:noWrap w:val="0"/>
            <w:vAlign w:val="center"/>
          </w:tcPr>
          <w:p>
            <w:pPr>
              <w:widowControl/>
              <w:jc w:val="center"/>
              <w:rPr>
                <w:rFonts w:ascii="宋体" w:hAnsi="宋体" w:cs="宋体"/>
                <w:kern w:val="0"/>
                <w:sz w:val="24"/>
              </w:rPr>
            </w:pPr>
            <w:r>
              <w:rPr>
                <w:rFonts w:hint="eastAsia" w:ascii="宋体" w:hAnsi="宋体" w:cs="宋体"/>
                <w:kern w:val="0"/>
                <w:sz w:val="24"/>
              </w:rPr>
              <w:t>报 价</w:t>
            </w:r>
          </w:p>
        </w:tc>
      </w:tr>
      <w:tr>
        <w:tblPrEx>
          <w:tblCellMar>
            <w:top w:w="0" w:type="dxa"/>
            <w:left w:w="108" w:type="dxa"/>
            <w:bottom w:w="0" w:type="dxa"/>
            <w:right w:w="108" w:type="dxa"/>
          </w:tblCellMar>
        </w:tblPrEx>
        <w:trPr>
          <w:cantSplit/>
          <w:trHeight w:val="762" w:hRule="atLeast"/>
        </w:trPr>
        <w:tc>
          <w:tcPr>
            <w:tcW w:w="70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306"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b/>
                <w:kern w:val="0"/>
                <w:sz w:val="24"/>
              </w:rPr>
              <w:t>招标代理</w:t>
            </w:r>
            <w:r>
              <w:rPr>
                <w:b/>
                <w:kern w:val="0"/>
                <w:sz w:val="24"/>
              </w:rPr>
              <w:t>项目</w:t>
            </w:r>
            <w:r>
              <w:rPr>
                <w:rFonts w:hint="eastAsia"/>
                <w:b/>
                <w:kern w:val="0"/>
                <w:sz w:val="24"/>
              </w:rPr>
              <w:t>收费</w:t>
            </w:r>
          </w:p>
        </w:tc>
        <w:tc>
          <w:tcPr>
            <w:tcW w:w="516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计价格[2002]1980号的</w:t>
            </w:r>
            <w:r>
              <w:rPr>
                <w:rFonts w:hint="eastAsia" w:ascii="宋体" w:hAnsi="宋体" w:cs="宋体"/>
                <w:kern w:val="0"/>
                <w:sz w:val="24"/>
                <w:u w:val="single"/>
              </w:rPr>
              <w:t xml:space="preserve">    </w:t>
            </w:r>
            <w:r>
              <w:rPr>
                <w:rFonts w:hint="eastAsia" w:ascii="宋体" w:hAnsi="宋体" w:cs="宋体"/>
                <w:kern w:val="0"/>
                <w:sz w:val="24"/>
              </w:rPr>
              <w:t>%</w:t>
            </w:r>
          </w:p>
        </w:tc>
      </w:tr>
      <w:tr>
        <w:tblPrEx>
          <w:tblCellMar>
            <w:top w:w="0" w:type="dxa"/>
            <w:left w:w="108" w:type="dxa"/>
            <w:bottom w:w="0" w:type="dxa"/>
            <w:right w:w="108" w:type="dxa"/>
          </w:tblCellMar>
        </w:tblPrEx>
        <w:trPr>
          <w:cantSplit/>
          <w:trHeight w:val="762" w:hRule="atLeast"/>
        </w:trPr>
        <w:tc>
          <w:tcPr>
            <w:tcW w:w="70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330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b/>
                <w:kern w:val="0"/>
                <w:sz w:val="24"/>
              </w:rPr>
            </w:pPr>
          </w:p>
        </w:tc>
        <w:tc>
          <w:tcPr>
            <w:tcW w:w="516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宋体"/>
                <w:kern w:val="0"/>
                <w:sz w:val="24"/>
                <w:lang w:val="en-US"/>
              </w:rPr>
            </w:pPr>
            <w:r>
              <w:rPr>
                <w:rFonts w:hint="eastAsia" w:asciiTheme="minorEastAsia" w:hAnsiTheme="minorEastAsia" w:eastAsiaTheme="minorEastAsia" w:cstheme="minorEastAsia"/>
                <w:b w:val="0"/>
                <w:bCs w:val="0"/>
                <w:color w:val="000000"/>
                <w:sz w:val="24"/>
                <w:highlight w:val="none"/>
                <w:lang w:val="en-US" w:eastAsia="zh-CN"/>
              </w:rPr>
              <w:t>单个项目保底收费</w:t>
            </w:r>
            <w:r>
              <w:rPr>
                <w:rFonts w:hint="eastAsia" w:asciiTheme="minorEastAsia" w:hAnsiTheme="minorEastAsia" w:eastAsiaTheme="minorEastAsia" w:cstheme="minorEastAsia"/>
                <w:b w:val="0"/>
                <w:bCs w:val="0"/>
                <w:color w:val="000000"/>
                <w:sz w:val="24"/>
                <w:highlight w:val="none"/>
                <w:u w:val="single"/>
                <w:lang w:val="en-US" w:eastAsia="zh-CN"/>
              </w:rPr>
              <w:t xml:space="preserve">      </w:t>
            </w:r>
            <w:r>
              <w:rPr>
                <w:rFonts w:hint="eastAsia" w:asciiTheme="minorEastAsia" w:hAnsiTheme="minorEastAsia" w:eastAsiaTheme="minorEastAsia" w:cstheme="minorEastAsia"/>
                <w:b w:val="0"/>
                <w:bCs w:val="0"/>
                <w:color w:val="000000"/>
                <w:sz w:val="24"/>
                <w:highlight w:val="none"/>
                <w:lang w:val="en-US" w:eastAsia="zh-CN"/>
              </w:rPr>
              <w:t xml:space="preserve">元 </w:t>
            </w:r>
          </w:p>
        </w:tc>
      </w:tr>
      <w:tr>
        <w:tblPrEx>
          <w:tblCellMar>
            <w:top w:w="0" w:type="dxa"/>
            <w:left w:w="108" w:type="dxa"/>
            <w:bottom w:w="0" w:type="dxa"/>
            <w:right w:w="108" w:type="dxa"/>
          </w:tblCellMar>
        </w:tblPrEx>
        <w:trPr>
          <w:trHeight w:val="304" w:hRule="atLeast"/>
        </w:trPr>
        <w:tc>
          <w:tcPr>
            <w:tcW w:w="4009" w:type="dxa"/>
            <w:gridSpan w:val="2"/>
            <w:tcBorders>
              <w:top w:val="single" w:color="auto" w:sz="4" w:space="0"/>
              <w:left w:val="nil"/>
              <w:bottom w:val="nil"/>
              <w:right w:val="nil"/>
            </w:tcBorders>
            <w:noWrap w:val="0"/>
            <w:vAlign w:val="bottom"/>
          </w:tcPr>
          <w:p>
            <w:pPr>
              <w:widowControl/>
              <w:jc w:val="left"/>
              <w:rPr>
                <w:rFonts w:ascii="宋体" w:hAnsi="宋体" w:cs="宋体"/>
                <w:kern w:val="0"/>
                <w:sz w:val="24"/>
              </w:rPr>
            </w:pPr>
            <w:r>
              <w:rPr>
                <w:rFonts w:hint="eastAsia" w:ascii="宋体" w:hAnsi="宋体" w:cs="宋体"/>
                <w:kern w:val="0"/>
                <w:sz w:val="24"/>
              </w:rPr>
              <w:t>报价说明：</w:t>
            </w:r>
          </w:p>
        </w:tc>
        <w:tc>
          <w:tcPr>
            <w:tcW w:w="2160" w:type="dxa"/>
            <w:tcBorders>
              <w:top w:val="single" w:color="auto" w:sz="4" w:space="0"/>
              <w:left w:val="nil"/>
              <w:bottom w:val="nil"/>
              <w:right w:val="nil"/>
            </w:tcBorders>
            <w:noWrap w:val="0"/>
            <w:vAlign w:val="bottom"/>
          </w:tcPr>
          <w:p>
            <w:pPr>
              <w:widowControl/>
              <w:jc w:val="left"/>
              <w:rPr>
                <w:rFonts w:ascii="宋体" w:hAnsi="宋体" w:cs="宋体"/>
                <w:kern w:val="0"/>
                <w:sz w:val="24"/>
              </w:rPr>
            </w:pPr>
          </w:p>
        </w:tc>
        <w:tc>
          <w:tcPr>
            <w:tcW w:w="1597" w:type="dxa"/>
            <w:tcBorders>
              <w:top w:val="single" w:color="auto" w:sz="4" w:space="0"/>
              <w:left w:val="nil"/>
              <w:bottom w:val="nil"/>
              <w:right w:val="nil"/>
            </w:tcBorders>
            <w:noWrap w:val="0"/>
            <w:vAlign w:val="bottom"/>
          </w:tcPr>
          <w:p>
            <w:pPr>
              <w:widowControl/>
              <w:jc w:val="left"/>
              <w:rPr>
                <w:rFonts w:ascii="宋体" w:hAnsi="宋体" w:cs="宋体"/>
                <w:kern w:val="0"/>
                <w:sz w:val="24"/>
              </w:rPr>
            </w:pPr>
          </w:p>
        </w:tc>
        <w:tc>
          <w:tcPr>
            <w:tcW w:w="828" w:type="dxa"/>
            <w:tcBorders>
              <w:top w:val="single" w:color="auto" w:sz="4" w:space="0"/>
              <w:left w:val="nil"/>
              <w:bottom w:val="nil"/>
              <w:right w:val="nil"/>
            </w:tcBorders>
            <w:noWrap w:val="0"/>
            <w:vAlign w:val="bottom"/>
          </w:tcPr>
          <w:p>
            <w:pPr>
              <w:widowControl/>
              <w:jc w:val="left"/>
              <w:rPr>
                <w:rFonts w:ascii="宋体" w:hAnsi="宋体" w:cs="宋体"/>
                <w:kern w:val="0"/>
                <w:sz w:val="24"/>
              </w:rPr>
            </w:pPr>
          </w:p>
        </w:tc>
        <w:tc>
          <w:tcPr>
            <w:tcW w:w="575" w:type="dxa"/>
            <w:tcBorders>
              <w:top w:val="single" w:color="auto" w:sz="4" w:space="0"/>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75" w:hRule="atLeast"/>
        </w:trPr>
        <w:tc>
          <w:tcPr>
            <w:tcW w:w="9169" w:type="dxa"/>
            <w:gridSpan w:val="6"/>
            <w:tcBorders>
              <w:top w:val="nil"/>
              <w:left w:val="nil"/>
              <w:bottom w:val="nil"/>
              <w:right w:val="nil"/>
            </w:tcBorders>
            <w:noWrap w:val="0"/>
            <w:vAlign w:val="center"/>
          </w:tcPr>
          <w:p>
            <w:pPr>
              <w:numPr>
                <w:ilvl w:val="0"/>
                <w:numId w:val="25"/>
              </w:numPr>
              <w:tabs>
                <w:tab w:val="left" w:pos="180"/>
                <w:tab w:val="left" w:pos="540"/>
              </w:tabs>
              <w:spacing w:line="400" w:lineRule="exact"/>
              <w:rPr>
                <w:rFonts w:hint="eastAsia" w:ascii="宋体" w:hAnsi="宋体"/>
                <w:sz w:val="24"/>
              </w:rPr>
            </w:pPr>
            <w:r>
              <w:rPr>
                <w:rFonts w:hint="eastAsia" w:ascii="宋体" w:hAnsi="宋体" w:cs="宋体"/>
                <w:kern w:val="0"/>
                <w:sz w:val="24"/>
              </w:rPr>
              <w:t>招标代理的收费标准以项目中标价为计算基数；</w:t>
            </w:r>
            <w:r>
              <w:rPr>
                <w:rFonts w:hint="eastAsia" w:ascii="宋体" w:hAnsi="宋体"/>
                <w:sz w:val="24"/>
              </w:rPr>
              <w:t>项目有划分标段的，代理费用计算基数按标段的中标价合计数计算。</w:t>
            </w:r>
          </w:p>
          <w:p>
            <w:pPr>
              <w:numPr>
                <w:ilvl w:val="0"/>
                <w:numId w:val="25"/>
              </w:numPr>
              <w:tabs>
                <w:tab w:val="left" w:pos="180"/>
                <w:tab w:val="left" w:pos="540"/>
              </w:tabs>
              <w:spacing w:line="400" w:lineRule="exact"/>
              <w:rPr>
                <w:rFonts w:hint="eastAsia" w:ascii="宋体" w:hAnsi="宋体"/>
                <w:color w:val="FF0000"/>
                <w:sz w:val="24"/>
                <w:u w:val="single"/>
              </w:rPr>
            </w:pPr>
            <w:r>
              <w:rPr>
                <w:rFonts w:hint="eastAsia" w:ascii="宋体" w:hAnsi="宋体" w:cs="宋体"/>
                <w:kern w:val="0"/>
                <w:sz w:val="24"/>
              </w:rPr>
              <w:t>报价参照计价格[2002]1980号。</w:t>
            </w:r>
          </w:p>
        </w:tc>
      </w:tr>
      <w:tr>
        <w:tblPrEx>
          <w:tblCellMar>
            <w:top w:w="0" w:type="dxa"/>
            <w:left w:w="108" w:type="dxa"/>
            <w:bottom w:w="0" w:type="dxa"/>
            <w:right w:w="108" w:type="dxa"/>
          </w:tblCellMar>
        </w:tblPrEx>
        <w:trPr>
          <w:trHeight w:val="499" w:hRule="atLeast"/>
        </w:trPr>
        <w:tc>
          <w:tcPr>
            <w:tcW w:w="9169" w:type="dxa"/>
            <w:gridSpan w:val="6"/>
            <w:tcBorders>
              <w:top w:val="nil"/>
              <w:left w:val="nil"/>
              <w:bottom w:val="nil"/>
              <w:right w:val="nil"/>
            </w:tcBorders>
            <w:noWrap w:val="0"/>
            <w:vAlign w:val="center"/>
          </w:tcPr>
          <w:p>
            <w:pPr>
              <w:tabs>
                <w:tab w:val="left" w:pos="180"/>
                <w:tab w:val="left" w:pos="540"/>
              </w:tabs>
              <w:spacing w:line="460" w:lineRule="exact"/>
              <w:rPr>
                <w:rFonts w:hint="eastAsia" w:ascii="宋体" w:hAnsi="宋体" w:cs="宋体"/>
                <w:kern w:val="0"/>
                <w:sz w:val="24"/>
              </w:rPr>
            </w:pPr>
          </w:p>
        </w:tc>
      </w:tr>
      <w:tr>
        <w:tblPrEx>
          <w:tblCellMar>
            <w:top w:w="0" w:type="dxa"/>
            <w:left w:w="108" w:type="dxa"/>
            <w:bottom w:w="0" w:type="dxa"/>
            <w:right w:w="108" w:type="dxa"/>
          </w:tblCellMar>
        </w:tblPrEx>
        <w:trPr>
          <w:trHeight w:val="418" w:hRule="atLeast"/>
        </w:trPr>
        <w:tc>
          <w:tcPr>
            <w:tcW w:w="9169" w:type="dxa"/>
            <w:gridSpan w:val="6"/>
            <w:tcBorders>
              <w:top w:val="nil"/>
              <w:left w:val="nil"/>
              <w:bottom w:val="nil"/>
              <w:right w:val="nil"/>
            </w:tcBorders>
            <w:noWrap w:val="0"/>
            <w:vAlign w:val="center"/>
          </w:tcPr>
          <w:p>
            <w:pPr>
              <w:widowControl/>
              <w:jc w:val="center"/>
              <w:rPr>
                <w:rFonts w:ascii="宋体" w:hAnsi="宋体" w:cs="宋体"/>
                <w:kern w:val="0"/>
                <w:sz w:val="24"/>
              </w:rPr>
            </w:pPr>
            <w:r>
              <w:rPr>
                <w:rFonts w:hint="eastAsia" w:ascii="宋体" w:hAnsi="宋体" w:cs="宋体"/>
                <w:b/>
                <w:kern w:val="0"/>
                <w:sz w:val="32"/>
                <w:szCs w:val="32"/>
              </w:rPr>
              <w:t>工程造价咨询服务报价书</w:t>
            </w:r>
          </w:p>
        </w:tc>
      </w:tr>
      <w:tr>
        <w:tblPrEx>
          <w:tblCellMar>
            <w:top w:w="0" w:type="dxa"/>
            <w:left w:w="108" w:type="dxa"/>
            <w:bottom w:w="0" w:type="dxa"/>
            <w:right w:w="108" w:type="dxa"/>
          </w:tblCellMar>
        </w:tblPrEx>
        <w:trPr>
          <w:trHeight w:val="600" w:hRule="atLeast"/>
        </w:trPr>
        <w:tc>
          <w:tcPr>
            <w:tcW w:w="703"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3306"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报价内容</w:t>
            </w:r>
          </w:p>
        </w:tc>
        <w:tc>
          <w:tcPr>
            <w:tcW w:w="5160" w:type="dxa"/>
            <w:gridSpan w:val="4"/>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报 价</w:t>
            </w:r>
          </w:p>
        </w:tc>
      </w:tr>
      <w:tr>
        <w:tblPrEx>
          <w:tblCellMar>
            <w:top w:w="0" w:type="dxa"/>
            <w:left w:w="108" w:type="dxa"/>
            <w:bottom w:w="0" w:type="dxa"/>
            <w:right w:w="108" w:type="dxa"/>
          </w:tblCellMar>
        </w:tblPrEx>
        <w:trPr>
          <w:cantSplit/>
          <w:trHeight w:val="632" w:hRule="atLeast"/>
        </w:trPr>
        <w:tc>
          <w:tcPr>
            <w:tcW w:w="703" w:type="dxa"/>
            <w:vMerge w:val="restart"/>
            <w:tcBorders>
              <w:top w:val="nil"/>
              <w:left w:val="single" w:color="auto" w:sz="8"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3306" w:type="dxa"/>
            <w:vMerge w:val="restart"/>
            <w:tcBorders>
              <w:top w:val="nil"/>
              <w:left w:val="single" w:color="auto" w:sz="4" w:space="0"/>
              <w:right w:val="single" w:color="auto" w:sz="4" w:space="0"/>
            </w:tcBorders>
            <w:noWrap w:val="0"/>
            <w:vAlign w:val="center"/>
          </w:tcPr>
          <w:p>
            <w:pPr>
              <w:widowControl/>
              <w:jc w:val="center"/>
              <w:rPr>
                <w:rFonts w:ascii="宋体" w:hAnsi="宋体" w:cs="宋体"/>
                <w:b/>
                <w:color w:val="FF0000"/>
                <w:kern w:val="0"/>
                <w:sz w:val="24"/>
                <w:u w:val="single"/>
              </w:rPr>
            </w:pPr>
            <w:r>
              <w:rPr>
                <w:rFonts w:hint="eastAsia" w:ascii="宋体" w:hAnsi="宋体" w:cs="宋体"/>
                <w:b/>
                <w:kern w:val="0"/>
                <w:sz w:val="24"/>
              </w:rPr>
              <w:t>工程造价</w:t>
            </w:r>
            <w:r>
              <w:rPr>
                <w:rFonts w:ascii="宋体" w:hAnsi="宋体" w:cs="宋体"/>
                <w:b/>
                <w:kern w:val="0"/>
                <w:sz w:val="24"/>
              </w:rPr>
              <w:t>咨询项目收费</w:t>
            </w:r>
          </w:p>
        </w:tc>
        <w:tc>
          <w:tcPr>
            <w:tcW w:w="516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sz w:val="24"/>
              </w:rPr>
              <w:t>浙价服[2009]84号</w:t>
            </w:r>
            <w:r>
              <w:rPr>
                <w:rFonts w:hint="eastAsia" w:ascii="宋体" w:hAnsi="宋体" w:cs="宋体"/>
                <w:kern w:val="0"/>
                <w:sz w:val="24"/>
                <w:u w:val="single"/>
              </w:rPr>
              <w:t xml:space="preserve">    </w:t>
            </w:r>
            <w:r>
              <w:rPr>
                <w:rFonts w:hint="eastAsia" w:ascii="宋体" w:hAnsi="宋体" w:cs="宋体"/>
                <w:kern w:val="0"/>
                <w:sz w:val="24"/>
              </w:rPr>
              <w:t>%　</w:t>
            </w:r>
          </w:p>
        </w:tc>
      </w:tr>
      <w:tr>
        <w:tblPrEx>
          <w:tblCellMar>
            <w:top w:w="0" w:type="dxa"/>
            <w:left w:w="108" w:type="dxa"/>
            <w:bottom w:w="0" w:type="dxa"/>
            <w:right w:w="108" w:type="dxa"/>
          </w:tblCellMar>
        </w:tblPrEx>
        <w:trPr>
          <w:cantSplit/>
          <w:trHeight w:val="767" w:hRule="atLeast"/>
        </w:trPr>
        <w:tc>
          <w:tcPr>
            <w:tcW w:w="703" w:type="dxa"/>
            <w:vMerge w:val="continue"/>
            <w:tcBorders>
              <w:left w:val="single" w:color="auto" w:sz="8"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330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 w:val="24"/>
              </w:rPr>
            </w:pPr>
          </w:p>
        </w:tc>
        <w:tc>
          <w:tcPr>
            <w:tcW w:w="516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z w:val="24"/>
              </w:rPr>
            </w:pPr>
            <w:r>
              <w:rPr>
                <w:rFonts w:hint="eastAsia" w:asciiTheme="minorEastAsia" w:hAnsiTheme="minorEastAsia" w:eastAsiaTheme="minorEastAsia" w:cstheme="minorEastAsia"/>
                <w:b w:val="0"/>
                <w:bCs w:val="0"/>
                <w:color w:val="000000"/>
                <w:sz w:val="24"/>
                <w:highlight w:val="none"/>
                <w:lang w:val="en-US" w:eastAsia="zh-CN"/>
              </w:rPr>
              <w:t>单个项目保底收费</w:t>
            </w:r>
            <w:r>
              <w:rPr>
                <w:rFonts w:hint="eastAsia" w:asciiTheme="minorEastAsia" w:hAnsiTheme="minorEastAsia" w:eastAsiaTheme="minorEastAsia" w:cstheme="minorEastAsia"/>
                <w:b w:val="0"/>
                <w:bCs w:val="0"/>
                <w:color w:val="000000"/>
                <w:sz w:val="24"/>
                <w:highlight w:val="none"/>
                <w:u w:val="single"/>
                <w:lang w:val="en-US" w:eastAsia="zh-CN"/>
              </w:rPr>
              <w:t xml:space="preserve">      </w:t>
            </w:r>
            <w:r>
              <w:rPr>
                <w:rFonts w:hint="eastAsia" w:asciiTheme="minorEastAsia" w:hAnsiTheme="minorEastAsia" w:eastAsiaTheme="minorEastAsia" w:cstheme="minorEastAsia"/>
                <w:b w:val="0"/>
                <w:bCs w:val="0"/>
                <w:color w:val="000000"/>
                <w:sz w:val="24"/>
                <w:highlight w:val="none"/>
                <w:lang w:val="en-US" w:eastAsia="zh-CN"/>
              </w:rPr>
              <w:t>元</w:t>
            </w:r>
          </w:p>
        </w:tc>
      </w:tr>
      <w:tr>
        <w:tblPrEx>
          <w:tblCellMar>
            <w:top w:w="0" w:type="dxa"/>
            <w:left w:w="108" w:type="dxa"/>
            <w:bottom w:w="0" w:type="dxa"/>
            <w:right w:w="108" w:type="dxa"/>
          </w:tblCellMar>
        </w:tblPrEx>
        <w:trPr>
          <w:trHeight w:val="300" w:hRule="atLeast"/>
        </w:trPr>
        <w:tc>
          <w:tcPr>
            <w:tcW w:w="4009" w:type="dxa"/>
            <w:gridSpan w:val="2"/>
            <w:tcBorders>
              <w:top w:val="nil"/>
              <w:left w:val="nil"/>
              <w:bottom w:val="nil"/>
              <w:right w:val="nil"/>
            </w:tcBorders>
            <w:noWrap w:val="0"/>
            <w:vAlign w:val="bottom"/>
          </w:tcPr>
          <w:p>
            <w:pPr>
              <w:widowControl/>
              <w:jc w:val="left"/>
              <w:rPr>
                <w:rFonts w:ascii="宋体" w:hAnsi="宋体" w:cs="宋体"/>
                <w:kern w:val="0"/>
                <w:sz w:val="24"/>
              </w:rPr>
            </w:pPr>
            <w:r>
              <w:rPr>
                <w:rFonts w:hint="eastAsia" w:ascii="宋体" w:hAnsi="宋体" w:cs="宋体"/>
                <w:kern w:val="0"/>
                <w:sz w:val="24"/>
              </w:rPr>
              <w:t>报价说明：</w:t>
            </w:r>
          </w:p>
        </w:tc>
        <w:tc>
          <w:tcPr>
            <w:tcW w:w="2160" w:type="dxa"/>
            <w:tcBorders>
              <w:top w:val="single" w:color="auto" w:sz="4" w:space="0"/>
              <w:left w:val="nil"/>
              <w:bottom w:val="nil"/>
              <w:right w:val="nil"/>
            </w:tcBorders>
            <w:noWrap w:val="0"/>
            <w:vAlign w:val="bottom"/>
          </w:tcPr>
          <w:p>
            <w:pPr>
              <w:widowControl/>
              <w:jc w:val="left"/>
              <w:rPr>
                <w:rFonts w:ascii="宋体" w:hAnsi="宋体" w:cs="宋体"/>
                <w:kern w:val="0"/>
                <w:sz w:val="24"/>
              </w:rPr>
            </w:pPr>
          </w:p>
        </w:tc>
        <w:tc>
          <w:tcPr>
            <w:tcW w:w="1597" w:type="dxa"/>
            <w:tcBorders>
              <w:top w:val="single" w:color="auto" w:sz="4" w:space="0"/>
              <w:left w:val="nil"/>
              <w:bottom w:val="nil"/>
              <w:right w:val="nil"/>
            </w:tcBorders>
            <w:noWrap w:val="0"/>
            <w:vAlign w:val="bottom"/>
          </w:tcPr>
          <w:p>
            <w:pPr>
              <w:widowControl/>
              <w:jc w:val="left"/>
              <w:rPr>
                <w:rFonts w:ascii="宋体" w:hAnsi="宋体" w:cs="宋体"/>
                <w:kern w:val="0"/>
                <w:sz w:val="24"/>
              </w:rPr>
            </w:pPr>
          </w:p>
        </w:tc>
        <w:tc>
          <w:tcPr>
            <w:tcW w:w="828" w:type="dxa"/>
            <w:tcBorders>
              <w:top w:val="single" w:color="auto" w:sz="4" w:space="0"/>
              <w:left w:val="nil"/>
              <w:bottom w:val="nil"/>
              <w:right w:val="nil"/>
            </w:tcBorders>
            <w:noWrap w:val="0"/>
            <w:vAlign w:val="bottom"/>
          </w:tcPr>
          <w:p>
            <w:pPr>
              <w:widowControl/>
              <w:jc w:val="left"/>
              <w:rPr>
                <w:rFonts w:ascii="宋体" w:hAnsi="宋体" w:cs="宋体"/>
                <w:kern w:val="0"/>
                <w:sz w:val="24"/>
              </w:rPr>
            </w:pPr>
          </w:p>
        </w:tc>
        <w:tc>
          <w:tcPr>
            <w:tcW w:w="575" w:type="dxa"/>
            <w:tcBorders>
              <w:top w:val="single" w:color="auto" w:sz="4" w:space="0"/>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99" w:hRule="atLeast"/>
        </w:trPr>
        <w:tc>
          <w:tcPr>
            <w:tcW w:w="9169" w:type="dxa"/>
            <w:gridSpan w:val="6"/>
            <w:tcBorders>
              <w:top w:val="nil"/>
              <w:left w:val="nil"/>
              <w:bottom w:val="nil"/>
              <w:right w:val="nil"/>
            </w:tcBorders>
            <w:noWrap w:val="0"/>
            <w:vAlign w:val="center"/>
          </w:tcPr>
          <w:p>
            <w:pPr>
              <w:tabs>
                <w:tab w:val="left" w:pos="180"/>
                <w:tab w:val="left" w:pos="540"/>
              </w:tabs>
              <w:spacing w:line="400" w:lineRule="exact"/>
              <w:rPr>
                <w:rFonts w:hint="eastAsia" w:ascii="宋体" w:hAnsi="宋体"/>
                <w:sz w:val="24"/>
              </w:rPr>
            </w:pPr>
            <w:r>
              <w:rPr>
                <w:rFonts w:hint="eastAsia" w:ascii="宋体" w:hAnsi="宋体"/>
                <w:sz w:val="24"/>
              </w:rPr>
              <w:t xml:space="preserve">1、 </w:t>
            </w:r>
            <w:r>
              <w:rPr>
                <w:rFonts w:hint="eastAsia" w:ascii="宋体" w:hAnsi="宋体" w:cs="宋体"/>
                <w:kern w:val="0"/>
                <w:sz w:val="24"/>
              </w:rPr>
              <w:t>报价参照</w:t>
            </w:r>
            <w:r>
              <w:rPr>
                <w:rFonts w:hint="eastAsia" w:ascii="宋体" w:hAnsi="宋体"/>
                <w:sz w:val="24"/>
              </w:rPr>
              <w:t>浙价服[2009]84号</w:t>
            </w:r>
            <w:r>
              <w:rPr>
                <w:rFonts w:hint="eastAsia" w:ascii="宋体" w:hAnsi="宋体" w:cs="宋体"/>
                <w:kern w:val="0"/>
                <w:sz w:val="24"/>
              </w:rPr>
              <w:t>。</w:t>
            </w:r>
          </w:p>
        </w:tc>
      </w:tr>
      <w:tr>
        <w:tblPrEx>
          <w:tblCellMar>
            <w:top w:w="0" w:type="dxa"/>
            <w:left w:w="108" w:type="dxa"/>
            <w:bottom w:w="0" w:type="dxa"/>
            <w:right w:w="108" w:type="dxa"/>
          </w:tblCellMar>
        </w:tblPrEx>
        <w:trPr>
          <w:trHeight w:val="499" w:hRule="atLeast"/>
        </w:trPr>
        <w:tc>
          <w:tcPr>
            <w:tcW w:w="9169" w:type="dxa"/>
            <w:gridSpan w:val="6"/>
            <w:tcBorders>
              <w:top w:val="nil"/>
              <w:left w:val="nil"/>
              <w:bottom w:val="nil"/>
              <w:right w:val="nil"/>
            </w:tcBorders>
            <w:noWrap w:val="0"/>
            <w:vAlign w:val="center"/>
          </w:tcPr>
          <w:p>
            <w:pPr>
              <w:tabs>
                <w:tab w:val="left" w:pos="180"/>
                <w:tab w:val="left" w:pos="540"/>
              </w:tabs>
              <w:spacing w:line="400" w:lineRule="exact"/>
              <w:rPr>
                <w:rFonts w:hint="eastAsia" w:ascii="宋体" w:hAnsi="宋体"/>
                <w:sz w:val="24"/>
              </w:rPr>
            </w:pPr>
            <w:r>
              <w:rPr>
                <w:rFonts w:hint="eastAsia" w:ascii="宋体" w:hAnsi="宋体"/>
                <w:sz w:val="24"/>
              </w:rPr>
              <w:t>2、 业主方在服务期内委托的</w:t>
            </w:r>
            <w:r>
              <w:rPr>
                <w:rFonts w:ascii="宋体" w:hAnsi="宋体"/>
                <w:sz w:val="24"/>
              </w:rPr>
              <w:t>项目</w:t>
            </w:r>
            <w:r>
              <w:rPr>
                <w:rFonts w:hint="eastAsia" w:ascii="宋体" w:hAnsi="宋体"/>
                <w:sz w:val="24"/>
              </w:rPr>
              <w:t>变更联系单审核（评审意见）费用：由原招标代理的项目</w:t>
            </w:r>
            <w:r>
              <w:rPr>
                <w:rFonts w:ascii="宋体" w:hAnsi="宋体"/>
                <w:sz w:val="24"/>
              </w:rPr>
              <w:t>不再另行收费</w:t>
            </w:r>
            <w:r>
              <w:rPr>
                <w:rFonts w:hint="eastAsia" w:ascii="宋体" w:hAnsi="宋体"/>
                <w:sz w:val="24"/>
              </w:rPr>
              <w:t xml:space="preserve">；非原招标代理的项目按单个联系单收费，套用标准中“工程结算审核”基本收费类别； </w:t>
            </w:r>
          </w:p>
          <w:p>
            <w:pPr>
              <w:tabs>
                <w:tab w:val="left" w:pos="180"/>
                <w:tab w:val="left" w:pos="540"/>
              </w:tabs>
              <w:spacing w:line="400" w:lineRule="exact"/>
              <w:ind w:firstLine="480" w:firstLineChars="200"/>
              <w:rPr>
                <w:rFonts w:hint="eastAsia" w:ascii="宋体" w:hAnsi="宋体" w:cs="宋体"/>
                <w:kern w:val="0"/>
                <w:sz w:val="24"/>
              </w:rPr>
            </w:pPr>
            <w:r>
              <w:rPr>
                <w:rFonts w:hint="eastAsia" w:ascii="宋体" w:hAnsi="宋体"/>
                <w:sz w:val="24"/>
              </w:rPr>
              <w:t>业主方在服务期内委托的零星工程结算审核以及其他另行委托的预算编制、预算审核：咨询服务费以1份报告为1个单位，计费基数按报告内送审价或工程造价的合计数计算。</w:t>
            </w:r>
          </w:p>
        </w:tc>
      </w:tr>
      <w:tr>
        <w:tblPrEx>
          <w:tblCellMar>
            <w:top w:w="0" w:type="dxa"/>
            <w:left w:w="108" w:type="dxa"/>
            <w:bottom w:w="0" w:type="dxa"/>
            <w:right w:w="108" w:type="dxa"/>
          </w:tblCellMar>
        </w:tblPrEx>
        <w:trPr>
          <w:trHeight w:val="499" w:hRule="atLeast"/>
        </w:trPr>
        <w:tc>
          <w:tcPr>
            <w:tcW w:w="9169" w:type="dxa"/>
            <w:gridSpan w:val="6"/>
            <w:tcBorders>
              <w:top w:val="nil"/>
              <w:left w:val="nil"/>
              <w:bottom w:val="nil"/>
              <w:right w:val="nil"/>
            </w:tcBorders>
            <w:noWrap w:val="0"/>
            <w:vAlign w:val="center"/>
          </w:tcPr>
          <w:p>
            <w:pPr>
              <w:tabs>
                <w:tab w:val="left" w:pos="180"/>
                <w:tab w:val="left" w:pos="540"/>
              </w:tabs>
              <w:spacing w:line="400" w:lineRule="exact"/>
              <w:rPr>
                <w:rFonts w:hint="eastAsia" w:ascii="宋体" w:hAnsi="宋体"/>
                <w:sz w:val="24"/>
              </w:rPr>
            </w:pPr>
            <w:r>
              <w:rPr>
                <w:rFonts w:hint="eastAsia" w:ascii="宋体" w:hAnsi="宋体"/>
                <w:sz w:val="24"/>
              </w:rPr>
              <w:t>3、 工程结算审核的追加费用由各咨询单位向施工单位自行收取。</w:t>
            </w:r>
          </w:p>
        </w:tc>
      </w:tr>
    </w:tbl>
    <w:p>
      <w:pPr>
        <w:spacing w:line="500" w:lineRule="exact"/>
        <w:ind w:firstLine="480" w:firstLineChars="200"/>
        <w:rPr>
          <w:rFonts w:hint="eastAsia" w:ascii="宋体" w:hAnsi="宋体"/>
          <w:sz w:val="24"/>
        </w:rPr>
      </w:pPr>
      <w:r>
        <w:rPr>
          <w:rFonts w:hint="eastAsia" w:ascii="宋体" w:hAnsi="宋体"/>
          <w:sz w:val="24"/>
        </w:rPr>
        <w:t>投标单位</w:t>
      </w:r>
      <w:r>
        <w:rPr>
          <w:rFonts w:hint="eastAsia" w:ascii="宋体" w:hAnsi="宋体"/>
          <w:sz w:val="24"/>
          <w:lang w:val="en-US" w:eastAsia="zh-CN"/>
        </w:rPr>
        <w:t>名称</w:t>
      </w:r>
      <w:r>
        <w:rPr>
          <w:rFonts w:hint="eastAsia" w:ascii="宋体" w:hAnsi="宋体"/>
          <w:sz w:val="24"/>
        </w:rPr>
        <w:t>（盖章）：</w:t>
      </w:r>
    </w:p>
    <w:p>
      <w:pPr>
        <w:spacing w:line="500" w:lineRule="exact"/>
        <w:ind w:firstLine="480" w:firstLineChars="200"/>
        <w:rPr>
          <w:rFonts w:hint="eastAsia" w:ascii="宋体" w:hAnsi="宋体"/>
          <w:sz w:val="24"/>
        </w:rPr>
      </w:pPr>
      <w:r>
        <w:rPr>
          <w:rFonts w:hint="eastAsia" w:ascii="宋体" w:hAnsi="宋体"/>
          <w:sz w:val="24"/>
        </w:rPr>
        <w:t>法定代表人（签字）：</w:t>
      </w:r>
    </w:p>
    <w:p>
      <w:pPr>
        <w:spacing w:line="500" w:lineRule="exact"/>
        <w:ind w:firstLine="480" w:firstLineChars="200"/>
        <w:rPr>
          <w:rFonts w:hint="eastAsia"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  日</w:t>
      </w:r>
    </w:p>
    <w:p>
      <w:pPr>
        <w:jc w:val="left"/>
        <w:rPr>
          <w:b/>
          <w:bCs/>
          <w:sz w:val="28"/>
          <w:szCs w:val="28"/>
        </w:rPr>
      </w:pPr>
      <w:r>
        <w:rPr>
          <w:sz w:val="28"/>
          <w:szCs w:val="28"/>
        </w:rPr>
        <w:br w:type="page"/>
      </w:r>
      <w:r>
        <w:rPr>
          <w:rFonts w:hint="eastAsia" w:hAnsi="宋体"/>
          <w:b/>
          <w:bCs/>
          <w:kern w:val="0"/>
          <w:sz w:val="28"/>
          <w:szCs w:val="28"/>
          <w:lang w:val="en-US" w:eastAsia="zh-CN"/>
        </w:rPr>
        <w:t>附件</w:t>
      </w:r>
      <w:r>
        <w:rPr>
          <w:rFonts w:hint="eastAsia" w:hAnsi="宋体"/>
          <w:b/>
          <w:bCs/>
          <w:kern w:val="0"/>
          <w:sz w:val="28"/>
          <w:szCs w:val="28"/>
        </w:rPr>
        <w:t>三</w:t>
      </w:r>
      <w:r>
        <w:rPr>
          <w:kern w:val="0"/>
          <w:sz w:val="28"/>
          <w:szCs w:val="28"/>
        </w:rPr>
        <w:t xml:space="preserve">  </w:t>
      </w:r>
      <w:r>
        <w:rPr>
          <w:rFonts w:hint="eastAsia"/>
          <w:kern w:val="0"/>
          <w:sz w:val="28"/>
          <w:szCs w:val="28"/>
          <w:lang w:val="en-US" w:eastAsia="zh-CN"/>
        </w:rPr>
        <w:t xml:space="preserve">             </w:t>
      </w:r>
      <w:r>
        <w:rPr>
          <w:kern w:val="0"/>
          <w:sz w:val="28"/>
          <w:szCs w:val="28"/>
        </w:rPr>
        <w:t xml:space="preserve"> </w:t>
      </w:r>
      <w:r>
        <w:rPr>
          <w:rFonts w:hAnsi="宋体"/>
          <w:b/>
          <w:bCs/>
          <w:sz w:val="28"/>
          <w:szCs w:val="28"/>
        </w:rPr>
        <w:t>法定代表人授权书</w:t>
      </w:r>
    </w:p>
    <w:p>
      <w:pPr>
        <w:spacing w:line="480" w:lineRule="auto"/>
        <w:rPr>
          <w:sz w:val="36"/>
        </w:rPr>
      </w:pPr>
    </w:p>
    <w:p>
      <w:pPr>
        <w:spacing w:line="480" w:lineRule="auto"/>
        <w:rPr>
          <w:rFonts w:hAnsi="宋体"/>
          <w:b/>
          <w:sz w:val="28"/>
          <w:szCs w:val="28"/>
        </w:rPr>
      </w:pPr>
      <w:r>
        <w:rPr>
          <w:rFonts w:hAnsi="宋体"/>
          <w:b/>
          <w:sz w:val="28"/>
          <w:szCs w:val="28"/>
        </w:rPr>
        <w:t>致：</w:t>
      </w:r>
      <w:r>
        <w:rPr>
          <w:rFonts w:hint="eastAsia" w:hAnsi="宋体"/>
          <w:b/>
          <w:sz w:val="28"/>
          <w:szCs w:val="28"/>
        </w:rPr>
        <w:t>***医院</w:t>
      </w:r>
    </w:p>
    <w:p>
      <w:pPr>
        <w:spacing w:line="480" w:lineRule="auto"/>
        <w:ind w:left="300" w:leftChars="150"/>
        <w:rPr>
          <w:sz w:val="28"/>
          <w:szCs w:val="28"/>
        </w:rPr>
      </w:pPr>
    </w:p>
    <w:p>
      <w:pPr>
        <w:spacing w:line="480" w:lineRule="auto"/>
        <w:ind w:left="300" w:leftChars="150" w:firstLine="560" w:firstLineChars="200"/>
        <w:rPr>
          <w:sz w:val="28"/>
          <w:szCs w:val="28"/>
        </w:rPr>
      </w:pPr>
      <w:r>
        <w:rPr>
          <w:rFonts w:hAnsi="宋体"/>
          <w:sz w:val="28"/>
          <w:szCs w:val="28"/>
        </w:rPr>
        <w:t>（招标代理机构全称）</w:t>
      </w:r>
      <w:r>
        <w:rPr>
          <w:sz w:val="28"/>
          <w:szCs w:val="28"/>
          <w:u w:val="single"/>
        </w:rPr>
        <w:t xml:space="preserve">                             </w:t>
      </w:r>
      <w:r>
        <w:rPr>
          <w:rFonts w:hAnsi="宋体"/>
          <w:sz w:val="28"/>
          <w:szCs w:val="28"/>
        </w:rPr>
        <w:t>法定代表人</w:t>
      </w:r>
      <w:r>
        <w:rPr>
          <w:sz w:val="28"/>
          <w:szCs w:val="28"/>
          <w:u w:val="single"/>
        </w:rPr>
        <w:t xml:space="preserve">             </w:t>
      </w:r>
      <w:r>
        <w:rPr>
          <w:rFonts w:hAnsi="宋体"/>
          <w:sz w:val="28"/>
          <w:szCs w:val="28"/>
        </w:rPr>
        <w:t>授权</w:t>
      </w:r>
      <w:r>
        <w:rPr>
          <w:sz w:val="28"/>
          <w:szCs w:val="28"/>
          <w:u w:val="single"/>
        </w:rPr>
        <w:t xml:space="preserve">           </w:t>
      </w:r>
      <w:r>
        <w:rPr>
          <w:rFonts w:hAnsi="宋体"/>
          <w:sz w:val="28"/>
          <w:szCs w:val="28"/>
        </w:rPr>
        <w:t>（</w:t>
      </w:r>
      <w:r>
        <w:rPr>
          <w:rFonts w:hint="eastAsia" w:hAnsi="宋体"/>
          <w:sz w:val="28"/>
          <w:szCs w:val="28"/>
        </w:rPr>
        <w:t>招标代理机构代表</w:t>
      </w:r>
      <w:r>
        <w:rPr>
          <w:rFonts w:hAnsi="宋体"/>
          <w:sz w:val="28"/>
          <w:szCs w:val="28"/>
        </w:rPr>
        <w:t>）为全权代表，参加</w:t>
      </w:r>
      <w:r>
        <w:rPr>
          <w:rFonts w:hint="eastAsia" w:hAnsi="宋体"/>
          <w:sz w:val="28"/>
          <w:szCs w:val="28"/>
        </w:rPr>
        <w:t>贵方组织的***医院医疗设备、耗材</w:t>
      </w:r>
      <w:r>
        <w:rPr>
          <w:rFonts w:hAnsi="宋体"/>
          <w:sz w:val="28"/>
          <w:szCs w:val="28"/>
        </w:rPr>
        <w:t>、</w:t>
      </w:r>
      <w:r>
        <w:rPr>
          <w:rFonts w:hint="eastAsia" w:hAnsi="宋体"/>
          <w:sz w:val="28"/>
          <w:szCs w:val="28"/>
        </w:rPr>
        <w:t>信息和服务项目等</w:t>
      </w:r>
      <w:r>
        <w:rPr>
          <w:rFonts w:hAnsi="宋体"/>
          <w:sz w:val="28"/>
          <w:szCs w:val="28"/>
        </w:rPr>
        <w:t>的招标代理服务招标，其在</w:t>
      </w:r>
      <w:r>
        <w:rPr>
          <w:rFonts w:hint="eastAsia" w:hAnsi="宋体"/>
          <w:sz w:val="28"/>
          <w:szCs w:val="28"/>
        </w:rPr>
        <w:t>招标</w:t>
      </w:r>
      <w:r>
        <w:rPr>
          <w:rFonts w:hAnsi="宋体"/>
          <w:sz w:val="28"/>
          <w:szCs w:val="28"/>
        </w:rPr>
        <w:t>中的一切活动本公司均予承认。</w:t>
      </w:r>
    </w:p>
    <w:p>
      <w:pPr>
        <w:spacing w:line="480" w:lineRule="auto"/>
        <w:ind w:left="150"/>
        <w:jc w:val="center"/>
        <w:rPr>
          <w:sz w:val="28"/>
          <w:szCs w:val="28"/>
        </w:rPr>
      </w:pPr>
      <w:r>
        <w:rPr>
          <w:sz w:val="28"/>
          <w:szCs w:val="28"/>
        </w:rPr>
        <w:t xml:space="preserve">     </w:t>
      </w:r>
    </w:p>
    <w:p>
      <w:pPr>
        <w:spacing w:line="480" w:lineRule="auto"/>
        <w:ind w:left="150"/>
        <w:jc w:val="center"/>
        <w:rPr>
          <w:sz w:val="28"/>
          <w:szCs w:val="28"/>
        </w:rPr>
      </w:pPr>
    </w:p>
    <w:p>
      <w:pPr>
        <w:spacing w:line="480" w:lineRule="auto"/>
        <w:ind w:left="150"/>
        <w:jc w:val="center"/>
        <w:rPr>
          <w:sz w:val="28"/>
          <w:szCs w:val="28"/>
        </w:rPr>
      </w:pPr>
    </w:p>
    <w:p>
      <w:pPr>
        <w:spacing w:line="480" w:lineRule="auto"/>
        <w:ind w:left="150"/>
        <w:jc w:val="center"/>
        <w:rPr>
          <w:rFonts w:hint="eastAsia"/>
          <w:sz w:val="28"/>
          <w:szCs w:val="28"/>
          <w:u w:val="single"/>
        </w:rPr>
      </w:pPr>
      <w:r>
        <w:rPr>
          <w:sz w:val="28"/>
          <w:szCs w:val="28"/>
        </w:rPr>
        <w:t xml:space="preserve">                   </w:t>
      </w:r>
      <w:r>
        <w:rPr>
          <w:rFonts w:hAnsi="宋体"/>
          <w:sz w:val="28"/>
          <w:szCs w:val="28"/>
        </w:rPr>
        <w:t>法定代表人签字：</w:t>
      </w:r>
      <w:r>
        <w:rPr>
          <w:rFonts w:hint="eastAsia" w:hAnsi="宋体"/>
          <w:sz w:val="28"/>
          <w:szCs w:val="28"/>
          <w:u w:val="single"/>
        </w:rPr>
        <w:t xml:space="preserve">           </w:t>
      </w:r>
    </w:p>
    <w:p>
      <w:pPr>
        <w:spacing w:line="480" w:lineRule="auto"/>
        <w:ind w:left="150"/>
        <w:jc w:val="center"/>
        <w:rPr>
          <w:sz w:val="28"/>
          <w:szCs w:val="28"/>
        </w:rPr>
      </w:pPr>
      <w:r>
        <w:rPr>
          <w:sz w:val="28"/>
          <w:szCs w:val="28"/>
        </w:rPr>
        <w:t xml:space="preserve">             </w:t>
      </w:r>
      <w:r>
        <w:rPr>
          <w:rFonts w:hAnsi="宋体"/>
          <w:sz w:val="28"/>
          <w:szCs w:val="28"/>
        </w:rPr>
        <w:t>单位公章：</w:t>
      </w:r>
    </w:p>
    <w:p>
      <w:pPr>
        <w:spacing w:line="480" w:lineRule="auto"/>
        <w:ind w:left="150"/>
        <w:jc w:val="center"/>
      </w:pPr>
      <w:r>
        <w:rPr>
          <w:sz w:val="28"/>
          <w:szCs w:val="28"/>
        </w:rPr>
        <w:t xml:space="preserve">                               </w:t>
      </w:r>
      <w:r>
        <w:rPr>
          <w:rFonts w:hAnsi="宋体"/>
          <w:sz w:val="28"/>
          <w:szCs w:val="28"/>
        </w:rPr>
        <w:t>时间：</w:t>
      </w:r>
      <w:r>
        <w:rPr>
          <w:sz w:val="28"/>
          <w:szCs w:val="28"/>
          <w:u w:val="single"/>
        </w:rPr>
        <w:t xml:space="preserve">       </w:t>
      </w:r>
      <w:r>
        <w:rPr>
          <w:rFonts w:hAnsi="宋体"/>
          <w:sz w:val="28"/>
          <w:szCs w:val="28"/>
        </w:rPr>
        <w:t>年</w:t>
      </w:r>
      <w:r>
        <w:rPr>
          <w:sz w:val="28"/>
          <w:szCs w:val="28"/>
          <w:u w:val="single"/>
        </w:rPr>
        <w:t xml:space="preserve">    </w:t>
      </w:r>
      <w:r>
        <w:rPr>
          <w:rFonts w:hAnsi="宋体"/>
          <w:sz w:val="28"/>
          <w:szCs w:val="28"/>
        </w:rPr>
        <w:t>月</w:t>
      </w:r>
      <w:r>
        <w:rPr>
          <w:sz w:val="28"/>
          <w:szCs w:val="28"/>
          <w:u w:val="single"/>
        </w:rPr>
        <w:t xml:space="preserve">    </w:t>
      </w:r>
      <w:r>
        <w:rPr>
          <w:rFonts w:hAnsi="宋体"/>
          <w:sz w:val="28"/>
          <w:szCs w:val="28"/>
        </w:rPr>
        <w:t>日</w:t>
      </w:r>
    </w:p>
    <w:p>
      <w:pPr>
        <w:pStyle w:val="19"/>
        <w:ind w:firstLine="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5A0FCA"/>
    <w:multiLevelType w:val="singleLevel"/>
    <w:tmpl w:val="085A0FCA"/>
    <w:lvl w:ilvl="0" w:tentative="0">
      <w:start w:val="2"/>
      <w:numFmt w:val="chineseCounting"/>
      <w:suff w:val="nothing"/>
      <w:lvlText w:val="%1、"/>
      <w:lvlJc w:val="left"/>
      <w:rPr>
        <w:rFonts w:hint="eastAsia"/>
      </w:rPr>
    </w:lvl>
  </w:abstractNum>
  <w:abstractNum w:abstractNumId="3">
    <w:nsid w:val="09983540"/>
    <w:multiLevelType w:val="multilevel"/>
    <w:tmpl w:val="09983540"/>
    <w:lvl w:ilvl="0" w:tentative="0">
      <w:start w:val="1"/>
      <w:numFmt w:val="decimal"/>
      <w:lvlText w:val="5.%1"/>
      <w:lvlJc w:val="left"/>
      <w:pPr>
        <w:ind w:left="420" w:hanging="420"/>
      </w:pPr>
      <w:rPr>
        <w:rFonts w:hint="default" w:asciiTheme="minorEastAsia" w:hAnsiTheme="minorEastAsia" w:eastAsiaTheme="minorEastAsia" w:cstheme="minor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0DA0491"/>
    <w:multiLevelType w:val="singleLevel"/>
    <w:tmpl w:val="10DA0491"/>
    <w:lvl w:ilvl="0" w:tentative="0">
      <w:start w:val="1"/>
      <w:numFmt w:val="decimal"/>
      <w:suff w:val="nothing"/>
      <w:lvlText w:val="%1、"/>
      <w:lvlJc w:val="left"/>
      <w:rPr>
        <w:color w:val="auto"/>
      </w:rPr>
    </w:lvl>
  </w:abstractNum>
  <w:abstractNum w:abstractNumId="6">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133A37"/>
    <w:multiLevelType w:val="multilevel"/>
    <w:tmpl w:val="18133A37"/>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5336006"/>
    <w:multiLevelType w:val="multilevel"/>
    <w:tmpl w:val="55336006"/>
    <w:lvl w:ilvl="0" w:tentative="0">
      <w:start w:val="1"/>
      <w:numFmt w:val="decimal"/>
      <w:lvlText w:val="1.%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9C2BEA"/>
    <w:multiLevelType w:val="multilevel"/>
    <w:tmpl w:val="719C2BEA"/>
    <w:lvl w:ilvl="0" w:tentative="0">
      <w:start w:val="1"/>
      <w:numFmt w:val="decimal"/>
      <w:lvlText w:val="%1、"/>
      <w:lvlJc w:val="left"/>
      <w:pPr>
        <w:ind w:left="420" w:hanging="420"/>
      </w:pPr>
      <w:rPr>
        <w:rFonts w:hint="default" w:ascii="宋体" w:hAnsi="宋体" w:eastAsia="宋体" w:cstheme="minorEastAsia"/>
        <w:b w:val="0"/>
        <w:b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16"/>
  </w:num>
  <w:num w:numId="4">
    <w:abstractNumId w:val="10"/>
  </w:num>
  <w:num w:numId="5">
    <w:abstractNumId w:val="18"/>
  </w:num>
  <w:num w:numId="6">
    <w:abstractNumId w:val="1"/>
  </w:num>
  <w:num w:numId="7">
    <w:abstractNumId w:val="17"/>
  </w:num>
  <w:num w:numId="8">
    <w:abstractNumId w:val="24"/>
  </w:num>
  <w:num w:numId="9">
    <w:abstractNumId w:val="4"/>
  </w:num>
  <w:num w:numId="10">
    <w:abstractNumId w:val="11"/>
  </w:num>
  <w:num w:numId="11">
    <w:abstractNumId w:val="0"/>
  </w:num>
  <w:num w:numId="12">
    <w:abstractNumId w:val="14"/>
  </w:num>
  <w:num w:numId="13">
    <w:abstractNumId w:val="15"/>
  </w:num>
  <w:num w:numId="14">
    <w:abstractNumId w:val="21"/>
  </w:num>
  <w:num w:numId="15">
    <w:abstractNumId w:val="19"/>
  </w:num>
  <w:num w:numId="16">
    <w:abstractNumId w:val="12"/>
  </w:num>
  <w:num w:numId="17">
    <w:abstractNumId w:val="20"/>
  </w:num>
  <w:num w:numId="18">
    <w:abstractNumId w:val="9"/>
  </w:num>
  <w:num w:numId="19">
    <w:abstractNumId w:val="3"/>
  </w:num>
  <w:num w:numId="20">
    <w:abstractNumId w:val="13"/>
  </w:num>
  <w:num w:numId="21">
    <w:abstractNumId w:val="7"/>
  </w:num>
  <w:num w:numId="22">
    <w:abstractNumId w:val="23"/>
  </w:num>
  <w:num w:numId="23">
    <w:abstractNumId w:val="22"/>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4045"/>
    <w:rsid w:val="000201F4"/>
    <w:rsid w:val="000E1F82"/>
    <w:rsid w:val="00122F94"/>
    <w:rsid w:val="00194C4C"/>
    <w:rsid w:val="001F4DE2"/>
    <w:rsid w:val="002455D4"/>
    <w:rsid w:val="002B4045"/>
    <w:rsid w:val="002F1D7B"/>
    <w:rsid w:val="003B582F"/>
    <w:rsid w:val="00482952"/>
    <w:rsid w:val="00493E00"/>
    <w:rsid w:val="004E58A7"/>
    <w:rsid w:val="004F40B1"/>
    <w:rsid w:val="005003D6"/>
    <w:rsid w:val="00520956"/>
    <w:rsid w:val="00536445"/>
    <w:rsid w:val="005379C3"/>
    <w:rsid w:val="005D6A3A"/>
    <w:rsid w:val="006027F5"/>
    <w:rsid w:val="007039D0"/>
    <w:rsid w:val="0074193D"/>
    <w:rsid w:val="00784C35"/>
    <w:rsid w:val="0080616D"/>
    <w:rsid w:val="00850247"/>
    <w:rsid w:val="00924E6B"/>
    <w:rsid w:val="00925659"/>
    <w:rsid w:val="00930431"/>
    <w:rsid w:val="009435C7"/>
    <w:rsid w:val="00980F0F"/>
    <w:rsid w:val="009C1B4B"/>
    <w:rsid w:val="009E1415"/>
    <w:rsid w:val="00A22C45"/>
    <w:rsid w:val="00BA557F"/>
    <w:rsid w:val="00BE24C9"/>
    <w:rsid w:val="00C154B8"/>
    <w:rsid w:val="00C52104"/>
    <w:rsid w:val="00C91C43"/>
    <w:rsid w:val="00CA2C71"/>
    <w:rsid w:val="00CE20B5"/>
    <w:rsid w:val="00CF6B43"/>
    <w:rsid w:val="00D51C50"/>
    <w:rsid w:val="00D80B16"/>
    <w:rsid w:val="00E042E2"/>
    <w:rsid w:val="00E27571"/>
    <w:rsid w:val="00EF1ACC"/>
    <w:rsid w:val="00F810A9"/>
    <w:rsid w:val="00FA6CCC"/>
    <w:rsid w:val="02EF2AAD"/>
    <w:rsid w:val="03900DC5"/>
    <w:rsid w:val="062160D7"/>
    <w:rsid w:val="0CA5629E"/>
    <w:rsid w:val="0CE7011A"/>
    <w:rsid w:val="171F5746"/>
    <w:rsid w:val="18FB43D4"/>
    <w:rsid w:val="1C975621"/>
    <w:rsid w:val="21317998"/>
    <w:rsid w:val="29564161"/>
    <w:rsid w:val="2CDC6E51"/>
    <w:rsid w:val="2E3D61C9"/>
    <w:rsid w:val="32A36A7A"/>
    <w:rsid w:val="357D29A3"/>
    <w:rsid w:val="377611C4"/>
    <w:rsid w:val="3A9C654E"/>
    <w:rsid w:val="44A65BA0"/>
    <w:rsid w:val="51C129A4"/>
    <w:rsid w:val="56333EC9"/>
    <w:rsid w:val="5CE14360"/>
    <w:rsid w:val="6ABA2582"/>
    <w:rsid w:val="6B5E1D9F"/>
    <w:rsid w:val="6E593D1E"/>
    <w:rsid w:val="701F32A1"/>
    <w:rsid w:val="7B520EE0"/>
    <w:rsid w:val="7EEE4082"/>
    <w:rsid w:val="7F0571C5"/>
    <w:rsid w:val="7F60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3">
    <w:name w:val="heading 1"/>
    <w:basedOn w:val="1"/>
    <w:next w:val="1"/>
    <w:link w:val="22"/>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Normal Indent"/>
    <w:qFormat/>
    <w:uiPriority w:val="0"/>
    <w:pPr>
      <w:ind w:firstLine="420"/>
    </w:pPr>
    <w:rPr>
      <w:rFonts w:ascii="Times New Roman" w:hAnsi="Times New Roman" w:eastAsia="仿宋_GB2312" w:cs="宋体"/>
      <w:b/>
      <w:bCs/>
      <w:color w:val="000000"/>
      <w:sz w:val="21"/>
      <w:lang w:val="en-US" w:eastAsia="zh-CN" w:bidi="ar-SA"/>
    </w:rPr>
  </w:style>
  <w:style w:type="paragraph" w:styleId="4">
    <w:name w:val="Body Text"/>
    <w:basedOn w:val="1"/>
    <w:next w:val="5"/>
    <w:link w:val="26"/>
    <w:unhideWhenUsed/>
    <w:qFormat/>
    <w:uiPriority w:val="0"/>
    <w:pPr>
      <w:spacing w:after="120"/>
    </w:pPr>
    <w:rPr>
      <w:rFonts w:eastAsiaTheme="minorEastAsia" w:cstheme="minorBidi"/>
      <w:kern w:val="2"/>
      <w:sz w:val="28"/>
      <w:szCs w:val="24"/>
    </w:rPr>
  </w:style>
  <w:style w:type="paragraph" w:styleId="5">
    <w:name w:val="Body Text First Indent"/>
    <w:basedOn w:val="4"/>
    <w:next w:val="1"/>
    <w:link w:val="27"/>
    <w:qFormat/>
    <w:uiPriority w:val="0"/>
    <w:pPr>
      <w:ind w:firstLine="420" w:firstLineChars="100"/>
    </w:pPr>
    <w:rPr>
      <w:sz w:val="21"/>
    </w:rPr>
  </w:style>
  <w:style w:type="paragraph" w:styleId="6">
    <w:name w:val="Body Text Indent"/>
    <w:basedOn w:val="1"/>
    <w:qFormat/>
    <w:uiPriority w:val="0"/>
    <w:pPr>
      <w:spacing w:line="540" w:lineRule="exact"/>
      <w:ind w:left="570"/>
    </w:pPr>
    <w:rPr>
      <w:sz w:val="28"/>
      <w:szCs w:val="20"/>
    </w:rPr>
  </w:style>
  <w:style w:type="paragraph" w:styleId="7">
    <w:name w:val="index 4"/>
    <w:basedOn w:val="1"/>
    <w:next w:val="1"/>
    <w:unhideWhenUsed/>
    <w:qFormat/>
    <w:uiPriority w:val="99"/>
    <w:pPr>
      <w:ind w:left="600" w:leftChars="600"/>
    </w:pPr>
    <w:rPr>
      <w:rFonts w:ascii="Verdana" w:hAnsi="Verdana"/>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link w:val="28"/>
    <w:semiHidden/>
    <w:unhideWhenUsed/>
    <w:qFormat/>
    <w:uiPriority w:val="99"/>
    <w:pPr>
      <w:ind w:left="100" w:leftChars="2500"/>
    </w:pPr>
  </w:style>
  <w:style w:type="paragraph" w:styleId="10">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line="360" w:lineRule="atLeast"/>
      <w:ind w:firstLine="720" w:firstLineChars="300"/>
    </w:pPr>
    <w:rPr>
      <w:kern w:val="0"/>
      <w:sz w:val="24"/>
      <w:szCs w:val="2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3"/>
    <w:qFormat/>
    <w:uiPriority w:val="0"/>
    <w:rPr>
      <w:rFonts w:ascii="Arial" w:hAnsi="Arial" w:eastAsia="华文中宋" w:cs="Times New Roman"/>
      <w:b/>
      <w:color w:val="000000"/>
      <w:sz w:val="32"/>
      <w:szCs w:val="24"/>
    </w:rPr>
  </w:style>
  <w:style w:type="character" w:customStyle="1" w:styleId="23">
    <w:name w:val="列出段落 Char"/>
    <w:link w:val="24"/>
    <w:qFormat/>
    <w:uiPriority w:val="34"/>
    <w:rPr>
      <w:rFonts w:ascii="Times New Roman" w:hAnsi="Times New Roman" w:cs="Times New Roman"/>
      <w:sz w:val="24"/>
      <w:szCs w:val="24"/>
      <w:lang w:eastAsia="en-US"/>
    </w:rPr>
  </w:style>
  <w:style w:type="paragraph" w:styleId="24">
    <w:name w:val="List Paragraph"/>
    <w:basedOn w:val="1"/>
    <w:link w:val="23"/>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25">
    <w:name w:val="正文文本 Char"/>
    <w:link w:val="4"/>
    <w:qFormat/>
    <w:uiPriority w:val="0"/>
    <w:rPr>
      <w:rFonts w:ascii="Calibri" w:hAnsi="Calibri"/>
      <w:sz w:val="28"/>
      <w:szCs w:val="24"/>
    </w:rPr>
  </w:style>
  <w:style w:type="character" w:customStyle="1" w:styleId="26">
    <w:name w:val="正文文本 Char1"/>
    <w:basedOn w:val="17"/>
    <w:link w:val="4"/>
    <w:semiHidden/>
    <w:qFormat/>
    <w:uiPriority w:val="99"/>
    <w:rPr>
      <w:rFonts w:ascii="Calibri" w:hAnsi="Calibri" w:eastAsia="宋体" w:cs="Times New Roman"/>
      <w:kern w:val="0"/>
      <w:sz w:val="20"/>
      <w:szCs w:val="20"/>
    </w:rPr>
  </w:style>
  <w:style w:type="character" w:customStyle="1" w:styleId="27">
    <w:name w:val="正文首行缩进 Char"/>
    <w:basedOn w:val="26"/>
    <w:link w:val="5"/>
    <w:qFormat/>
    <w:uiPriority w:val="0"/>
    <w:rPr>
      <w:szCs w:val="24"/>
    </w:rPr>
  </w:style>
  <w:style w:type="character" w:customStyle="1" w:styleId="28">
    <w:name w:val="日期 Char"/>
    <w:basedOn w:val="17"/>
    <w:link w:val="9"/>
    <w:semiHidden/>
    <w:qFormat/>
    <w:uiPriority w:val="99"/>
    <w:rPr>
      <w:rFonts w:ascii="Calibri" w:hAnsi="Calibri" w:eastAsia="宋体" w:cs="Times New Roman"/>
      <w:kern w:val="0"/>
      <w:sz w:val="20"/>
      <w:szCs w:val="20"/>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30">
    <w:name w:val="font21"/>
    <w:basedOn w:val="17"/>
    <w:qFormat/>
    <w:uiPriority w:val="0"/>
    <w:rPr>
      <w:rFonts w:hint="eastAsia" w:ascii="宋体" w:hAnsi="宋体" w:eastAsia="宋体" w:cs="宋体"/>
      <w:color w:val="000000"/>
      <w:sz w:val="21"/>
      <w:szCs w:val="21"/>
      <w:u w:val="none"/>
    </w:rPr>
  </w:style>
  <w:style w:type="character" w:customStyle="1" w:styleId="31">
    <w:name w:val="font11"/>
    <w:basedOn w:val="17"/>
    <w:qFormat/>
    <w:uiPriority w:val="0"/>
    <w:rPr>
      <w:rFonts w:hint="eastAsia" w:ascii="宋体" w:hAnsi="宋体" w:eastAsia="宋体" w:cs="宋体"/>
      <w:color w:val="000000"/>
      <w:sz w:val="21"/>
      <w:szCs w:val="21"/>
      <w:u w:val="none"/>
    </w:rPr>
  </w:style>
  <w:style w:type="character" w:customStyle="1" w:styleId="32">
    <w:name w:val="font71"/>
    <w:basedOn w:val="17"/>
    <w:qFormat/>
    <w:uiPriority w:val="0"/>
    <w:rPr>
      <w:rFonts w:hint="eastAsia" w:ascii="宋体" w:hAnsi="宋体" w:eastAsia="宋体" w:cs="宋体"/>
      <w:color w:val="000000"/>
      <w:sz w:val="20"/>
      <w:szCs w:val="20"/>
      <w:u w:val="none"/>
    </w:rPr>
  </w:style>
  <w:style w:type="paragraph" w:customStyle="1" w:styleId="33">
    <w:name w:val="Char Char Char Char1 Char Char Char Char Char Char"/>
    <w:basedOn w:val="1"/>
    <w:qFormat/>
    <w:uiPriority w:val="0"/>
    <w:rPr>
      <w:rFonts w:ascii="Times New Roman" w:hAnsi="Times New Roman" w:cs="Calibri"/>
      <w:kern w:val="2"/>
      <w:sz w:val="21"/>
      <w:szCs w:val="21"/>
    </w:rPr>
  </w:style>
  <w:style w:type="paragraph" w:customStyle="1" w:styleId="34">
    <w:name w:val="表头"/>
    <w:basedOn w:val="35"/>
    <w:qFormat/>
    <w:uiPriority w:val="0"/>
    <w:pPr>
      <w:jc w:val="center"/>
    </w:pPr>
    <w:rPr>
      <w:b/>
      <w:bCs/>
    </w:rPr>
  </w:style>
  <w:style w:type="paragraph" w:customStyle="1" w:styleId="35">
    <w:name w:val="表格正文"/>
    <w:basedOn w:val="1"/>
    <w:qFormat/>
    <w:uiPriority w:val="0"/>
    <w:rPr>
      <w:rFonts w:eastAsia="仿宋" w:cs="宋体"/>
      <w:kern w:val="2"/>
      <w:sz w:val="24"/>
    </w:rPr>
  </w:style>
  <w:style w:type="character" w:customStyle="1" w:styleId="36">
    <w:name w:val="NormalCharacter"/>
    <w:semiHidden/>
    <w:qFormat/>
    <w:uiPriority w:val="0"/>
  </w:style>
  <w:style w:type="paragraph" w:customStyle="1" w:styleId="3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1795</Words>
  <Characters>10238</Characters>
  <Lines>85</Lines>
  <Paragraphs>24</Paragraphs>
  <TotalTime>16</TotalTime>
  <ScaleCrop>false</ScaleCrop>
  <LinksUpToDate>false</LinksUpToDate>
  <CharactersWithSpaces>12009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2022-07-14T00:22:00Z</dcterms:created>
  <dc:creator>王延春(00192382)</dc:creator>
  <cp:lastModifiedBy>his</cp:lastModifiedBy>
  <cp:lastPrinted>2022-11-04T05:35:00Z</cp:lastPrinted>
  <dcterms:modified xsi:type="dcterms:W3CDTF">2022-12-15T03:57:42Z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